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D6FE4" w14:textId="4A2EBAC0" w:rsidR="00150027" w:rsidRPr="00FC775C" w:rsidRDefault="006A1571" w:rsidP="00FC775C">
      <w:pPr>
        <w:spacing w:after="0"/>
        <w:ind w:left="-720" w:right="-720"/>
        <w:rPr>
          <w:b/>
          <w:color w:val="2F5496" w:themeColor="accent5" w:themeShade="BF"/>
          <w:sz w:val="72"/>
          <w:szCs w:val="72"/>
        </w:rPr>
      </w:pPr>
      <w:r>
        <w:rPr>
          <w:b/>
          <w:color w:val="2F5496" w:themeColor="accent5" w:themeShade="BF"/>
          <w:sz w:val="72"/>
          <w:szCs w:val="72"/>
        </w:rPr>
        <w:t>Sponsored Programs</w:t>
      </w:r>
      <w:r w:rsidR="004B2A1E">
        <w:rPr>
          <w:b/>
          <w:color w:val="2F5496" w:themeColor="accent5" w:themeShade="BF"/>
          <w:sz w:val="72"/>
          <w:szCs w:val="72"/>
        </w:rPr>
        <w:tab/>
      </w:r>
      <w:r w:rsidR="004B2A1E">
        <w:rPr>
          <w:b/>
          <w:color w:val="2F5496" w:themeColor="accent5" w:themeShade="BF"/>
          <w:sz w:val="72"/>
          <w:szCs w:val="72"/>
        </w:rPr>
        <w:tab/>
      </w:r>
      <w:r w:rsidR="004B2A1E">
        <w:rPr>
          <w:b/>
          <w:color w:val="2F5496" w:themeColor="accent5" w:themeShade="BF"/>
          <w:sz w:val="72"/>
          <w:szCs w:val="72"/>
        </w:rPr>
        <w:tab/>
      </w:r>
    </w:p>
    <w:p w14:paraId="76D98413" w14:textId="7518FD61" w:rsidR="00D77D81" w:rsidRDefault="000E425A" w:rsidP="00C54D2D">
      <w:pPr>
        <w:spacing w:after="0"/>
        <w:ind w:left="-720" w:right="1440"/>
        <w:rPr>
          <w:b/>
          <w:color w:val="2F5496" w:themeColor="accent5" w:themeShade="BF"/>
          <w:sz w:val="36"/>
          <w:szCs w:val="36"/>
        </w:rPr>
      </w:pPr>
      <w:r w:rsidRPr="004B2A1E">
        <w:rPr>
          <w:b/>
          <w:color w:val="2F5496" w:themeColor="accent5" w:themeShade="BF"/>
          <w:sz w:val="36"/>
          <w:szCs w:val="36"/>
        </w:rPr>
        <w:t>Key Terms</w:t>
      </w:r>
    </w:p>
    <w:p w14:paraId="4CAF985C" w14:textId="77777777" w:rsidR="00E63F20" w:rsidRDefault="00E63F20" w:rsidP="00C54D2D">
      <w:pPr>
        <w:spacing w:after="0"/>
        <w:ind w:left="-720" w:right="2160"/>
        <w:rPr>
          <w:b/>
          <w:color w:val="2F5496" w:themeColor="accent5" w:themeShade="BF"/>
          <w:sz w:val="26"/>
          <w:szCs w:val="26"/>
        </w:rPr>
      </w:pPr>
    </w:p>
    <w:p w14:paraId="6074FBA9" w14:textId="27A0537D" w:rsidR="00D77D81" w:rsidRPr="004B2A1E" w:rsidRDefault="00D77D81" w:rsidP="00C54D2D">
      <w:pPr>
        <w:spacing w:after="0"/>
        <w:ind w:left="-720" w:right="2160"/>
        <w:rPr>
          <w:b/>
          <w:color w:val="2F5496" w:themeColor="accent5" w:themeShade="BF"/>
          <w:sz w:val="26"/>
          <w:szCs w:val="26"/>
        </w:rPr>
      </w:pPr>
      <w:r>
        <w:rPr>
          <w:b/>
          <w:color w:val="2F5496" w:themeColor="accent5" w:themeShade="BF"/>
          <w:sz w:val="26"/>
          <w:szCs w:val="26"/>
        </w:rPr>
        <w:t>Agreement</w:t>
      </w:r>
    </w:p>
    <w:p w14:paraId="12952332" w14:textId="0774D2DF" w:rsidR="00E63F20" w:rsidRDefault="00D77D81" w:rsidP="00150027">
      <w:pPr>
        <w:spacing w:after="0"/>
        <w:ind w:left="-720" w:right="-720"/>
      </w:pPr>
      <w:r>
        <w:t xml:space="preserve">A general term used to refer to a variety of funding instruments that UF negotiates with sponsors. </w:t>
      </w:r>
    </w:p>
    <w:p w14:paraId="27CA797F" w14:textId="77777777" w:rsidR="00E63F20" w:rsidRDefault="00E63F20" w:rsidP="00C54D2D">
      <w:pPr>
        <w:spacing w:after="0"/>
        <w:ind w:left="-720" w:right="2160"/>
      </w:pPr>
    </w:p>
    <w:p w14:paraId="39A1F3A3" w14:textId="77777777" w:rsidR="00D77D81" w:rsidRPr="004B2A1E" w:rsidRDefault="00D77D81" w:rsidP="00C54D2D">
      <w:pPr>
        <w:spacing w:after="0"/>
        <w:ind w:left="-720" w:right="2160"/>
        <w:rPr>
          <w:b/>
          <w:color w:val="2F5496" w:themeColor="accent5" w:themeShade="BF"/>
          <w:sz w:val="26"/>
          <w:szCs w:val="26"/>
        </w:rPr>
      </w:pPr>
      <w:r w:rsidRPr="004B2A1E">
        <w:rPr>
          <w:b/>
          <w:color w:val="2F5496" w:themeColor="accent5" w:themeShade="BF"/>
          <w:sz w:val="26"/>
          <w:szCs w:val="26"/>
        </w:rPr>
        <w:t>Award</w:t>
      </w:r>
    </w:p>
    <w:p w14:paraId="2049330C" w14:textId="3A8F82CE" w:rsidR="004E7E36" w:rsidRPr="00150027" w:rsidRDefault="00D77D81" w:rsidP="00150027">
      <w:pPr>
        <w:spacing w:after="0"/>
        <w:ind w:left="-720" w:right="-720"/>
      </w:pPr>
      <w:r>
        <w:t>A defined scope of work that is sponsored, or funded, by an external organization, such as a federal, state or p</w:t>
      </w:r>
      <w:r w:rsidR="00150027">
        <w:t xml:space="preserve">rivate organization or agency. </w:t>
      </w:r>
      <w:proofErr w:type="gramStart"/>
      <w:r>
        <w:t>It is also the umbrella in UF’s financial system under which a project(s) sit.</w:t>
      </w:r>
      <w:proofErr w:type="gramEnd"/>
    </w:p>
    <w:p w14:paraId="0D70537D" w14:textId="77777777" w:rsidR="00C54D2D" w:rsidRDefault="00C54D2D" w:rsidP="00C54D2D">
      <w:pPr>
        <w:spacing w:after="0"/>
        <w:ind w:left="-720" w:right="1440"/>
        <w:rPr>
          <w:b/>
          <w:color w:val="2F5496" w:themeColor="accent5" w:themeShade="BF"/>
          <w:sz w:val="26"/>
          <w:szCs w:val="26"/>
        </w:rPr>
      </w:pPr>
    </w:p>
    <w:p w14:paraId="5F4B6C7E" w14:textId="77777777" w:rsidR="00BF1352" w:rsidRPr="008E6ADB" w:rsidRDefault="00BF1352" w:rsidP="00BF1352">
      <w:pPr>
        <w:spacing w:after="0"/>
        <w:ind w:left="-720" w:right="1440"/>
        <w:rPr>
          <w:b/>
          <w:color w:val="2F5496" w:themeColor="accent5" w:themeShade="BF"/>
          <w:sz w:val="26"/>
          <w:szCs w:val="26"/>
        </w:rPr>
      </w:pPr>
      <w:r>
        <w:rPr>
          <w:b/>
          <w:color w:val="2F5496" w:themeColor="accent5" w:themeShade="BF"/>
          <w:sz w:val="26"/>
          <w:szCs w:val="26"/>
        </w:rPr>
        <w:t xml:space="preserve">Award </w:t>
      </w:r>
      <w:r w:rsidRPr="008E6ADB">
        <w:rPr>
          <w:b/>
          <w:color w:val="2F5496" w:themeColor="accent5" w:themeShade="BF"/>
          <w:sz w:val="26"/>
          <w:szCs w:val="26"/>
        </w:rPr>
        <w:t>Modifications (Mods)</w:t>
      </w:r>
    </w:p>
    <w:p w14:paraId="6B8E0EC3" w14:textId="58D40336" w:rsidR="00BF1352" w:rsidRDefault="00BF1352" w:rsidP="00BF1352">
      <w:pPr>
        <w:spacing w:after="0"/>
        <w:ind w:left="-720" w:right="-720"/>
      </w:pPr>
      <w:r>
        <w:t>A change from the original award workplan and budget processed in UFIRST.  Modifications may or may not require sponsor approval. Sponsored Programs will review all Modification Requests. Typical types of modifications include changes in scope, budget adjustments, no cost extensions, key personnel adjustments, etc.</w:t>
      </w:r>
    </w:p>
    <w:p w14:paraId="023BB070" w14:textId="77777777" w:rsidR="00BF1352" w:rsidRDefault="00BF1352" w:rsidP="00BF1352">
      <w:pPr>
        <w:spacing w:after="0"/>
        <w:ind w:left="-720" w:right="-720"/>
      </w:pPr>
    </w:p>
    <w:p w14:paraId="1830FCCC" w14:textId="5F850727" w:rsidR="00D77D81" w:rsidRPr="004B2A1E" w:rsidRDefault="00D77D81" w:rsidP="00C54D2D">
      <w:pPr>
        <w:spacing w:after="0"/>
        <w:ind w:left="-720" w:right="1440"/>
        <w:rPr>
          <w:b/>
          <w:color w:val="2F5496" w:themeColor="accent5" w:themeShade="BF"/>
          <w:sz w:val="26"/>
          <w:szCs w:val="26"/>
        </w:rPr>
      </w:pPr>
      <w:r>
        <w:rPr>
          <w:b/>
          <w:color w:val="2F5496" w:themeColor="accent5" w:themeShade="BF"/>
          <w:sz w:val="26"/>
          <w:szCs w:val="26"/>
        </w:rPr>
        <w:t>Budget</w:t>
      </w:r>
    </w:p>
    <w:p w14:paraId="2A5EE405" w14:textId="19DB9963" w:rsidR="00D77D81" w:rsidRDefault="00D77D81" w:rsidP="00150027">
      <w:pPr>
        <w:spacing w:after="0"/>
        <w:ind w:left="-720" w:right="-720"/>
      </w:pPr>
      <w:r>
        <w:t xml:space="preserve">The portion of a proposal that communicates the financial resources that will be required to accomplish the scope of work. </w:t>
      </w:r>
      <w:r w:rsidRPr="00F41E78">
        <w:t>The budget usually shows a categorical breakdown of the requested funds, as well as the total.</w:t>
      </w:r>
    </w:p>
    <w:p w14:paraId="18981A06" w14:textId="77777777" w:rsidR="00CC55AA" w:rsidRDefault="00CC55AA" w:rsidP="00150027">
      <w:pPr>
        <w:spacing w:after="0"/>
        <w:ind w:left="-720" w:right="-720"/>
      </w:pPr>
    </w:p>
    <w:p w14:paraId="5F969AC0" w14:textId="307A6F32" w:rsidR="00D77D81" w:rsidRPr="004B2A1E" w:rsidRDefault="00D77D81" w:rsidP="00C54D2D">
      <w:pPr>
        <w:spacing w:after="0"/>
        <w:ind w:left="-720" w:right="1440"/>
        <w:rPr>
          <w:b/>
          <w:color w:val="2F5496" w:themeColor="accent5" w:themeShade="BF"/>
          <w:sz w:val="26"/>
          <w:szCs w:val="26"/>
        </w:rPr>
      </w:pPr>
      <w:r>
        <w:rPr>
          <w:b/>
          <w:color w:val="2F5496" w:themeColor="accent5" w:themeShade="BF"/>
          <w:sz w:val="26"/>
          <w:szCs w:val="26"/>
        </w:rPr>
        <w:t>Budget Justification</w:t>
      </w:r>
    </w:p>
    <w:p w14:paraId="2FBB9569" w14:textId="558086A5" w:rsidR="00D77D81" w:rsidRDefault="00D77D81" w:rsidP="00150027">
      <w:pPr>
        <w:spacing w:after="0"/>
        <w:ind w:left="-720" w:right="-720"/>
      </w:pPr>
      <w:r>
        <w:t>The portion of a proposal that communicates how the funds requested will be used to accomplish the scope of work. The budget justification can be thought of as a narrative version of the budget.</w:t>
      </w:r>
    </w:p>
    <w:p w14:paraId="3EBA4993" w14:textId="77777777" w:rsidR="00BF1352" w:rsidRDefault="00BF1352" w:rsidP="00150027">
      <w:pPr>
        <w:spacing w:after="0"/>
        <w:ind w:left="-720" w:right="-720"/>
      </w:pPr>
    </w:p>
    <w:p w14:paraId="1044C8BD" w14:textId="49F78CCA" w:rsidR="00BF1352" w:rsidRPr="008E6ADB" w:rsidRDefault="00BF1352" w:rsidP="00BF1352">
      <w:pPr>
        <w:spacing w:after="0"/>
        <w:ind w:left="-720" w:right="1440"/>
        <w:rPr>
          <w:b/>
          <w:color w:val="2F5496" w:themeColor="accent5" w:themeShade="BF"/>
          <w:sz w:val="26"/>
          <w:szCs w:val="26"/>
        </w:rPr>
      </w:pPr>
      <w:r>
        <w:rPr>
          <w:b/>
          <w:color w:val="2F5496" w:themeColor="accent5" w:themeShade="BF"/>
          <w:sz w:val="26"/>
          <w:szCs w:val="26"/>
        </w:rPr>
        <w:t>Burn Rate</w:t>
      </w:r>
    </w:p>
    <w:p w14:paraId="6090060B" w14:textId="5CCD5F38" w:rsidR="00BF1352" w:rsidRDefault="00BF1352" w:rsidP="00BF1352">
      <w:pPr>
        <w:spacing w:after="0"/>
        <w:ind w:left="-720" w:right="-720"/>
      </w:pPr>
      <w:r>
        <w:t xml:space="preserve">Rate at which project funds are being spent. </w:t>
      </w:r>
    </w:p>
    <w:p w14:paraId="20BD1687" w14:textId="1115FA62" w:rsidR="00E63F20" w:rsidRDefault="00E63F20" w:rsidP="00C54D2D">
      <w:pPr>
        <w:spacing w:after="0"/>
        <w:ind w:left="-720" w:right="1440"/>
      </w:pPr>
    </w:p>
    <w:p w14:paraId="155821A5" w14:textId="24AE2E46" w:rsidR="00150027" w:rsidRPr="004B2A1E" w:rsidRDefault="00150027" w:rsidP="00150027">
      <w:pPr>
        <w:spacing w:after="0"/>
        <w:ind w:left="-720" w:right="1440"/>
        <w:rPr>
          <w:b/>
          <w:color w:val="2F5496" w:themeColor="accent5" w:themeShade="BF"/>
          <w:sz w:val="26"/>
          <w:szCs w:val="26"/>
        </w:rPr>
      </w:pPr>
      <w:r>
        <w:rPr>
          <w:b/>
          <w:color w:val="2F5496" w:themeColor="accent5" w:themeShade="BF"/>
          <w:sz w:val="26"/>
          <w:szCs w:val="26"/>
        </w:rPr>
        <w:t>Cost Share</w:t>
      </w:r>
    </w:p>
    <w:p w14:paraId="6E34FCE8" w14:textId="189124DA" w:rsidR="00150027" w:rsidRDefault="00150027" w:rsidP="00150027">
      <w:pPr>
        <w:spacing w:after="0"/>
        <w:ind w:left="-720" w:right="-720"/>
      </w:pPr>
      <w:r>
        <w:t xml:space="preserve">The portion of the total project costs that are not paid by the sponsor. Includes resources within a department, college, or from another third party outside of UF. </w:t>
      </w:r>
    </w:p>
    <w:p w14:paraId="6BD5FB54" w14:textId="77777777" w:rsidR="00150027" w:rsidRDefault="00150027" w:rsidP="00C54D2D">
      <w:pPr>
        <w:spacing w:after="0"/>
        <w:ind w:left="-720" w:right="2160"/>
      </w:pPr>
    </w:p>
    <w:p w14:paraId="7ABF8D8A" w14:textId="1A05DE7C" w:rsidR="00E63F20" w:rsidRPr="004B2A1E" w:rsidRDefault="006A1F9A" w:rsidP="00C54D2D">
      <w:pPr>
        <w:spacing w:after="0"/>
        <w:ind w:left="-720" w:right="2160"/>
        <w:rPr>
          <w:b/>
          <w:color w:val="2F5496" w:themeColor="accent5" w:themeShade="BF"/>
          <w:sz w:val="26"/>
          <w:szCs w:val="26"/>
          <w:shd w:val="clear" w:color="auto" w:fill="FFFFFF"/>
        </w:rPr>
      </w:pPr>
      <w:hyperlink r:id="rId10" w:history="1">
        <w:r w:rsidR="00E63F20" w:rsidRPr="004B2A1E">
          <w:rPr>
            <w:rStyle w:val="Hyperlink"/>
            <w:b/>
            <w:color w:val="2F5496" w:themeColor="accent5" w:themeShade="BF"/>
            <w:sz w:val="26"/>
            <w:szCs w:val="26"/>
            <w:u w:val="none"/>
            <w:bdr w:val="none" w:sz="0" w:space="0" w:color="auto" w:frame="1"/>
            <w:shd w:val="clear" w:color="auto" w:fill="FFFFFF"/>
          </w:rPr>
          <w:t>Direct Costs</w:t>
        </w:r>
      </w:hyperlink>
      <w:r w:rsidR="00E63F20" w:rsidRPr="004B2A1E">
        <w:rPr>
          <w:b/>
          <w:color w:val="2F5496" w:themeColor="accent5" w:themeShade="BF"/>
          <w:sz w:val="26"/>
          <w:szCs w:val="26"/>
          <w:shd w:val="clear" w:color="auto" w:fill="FFFFFF"/>
        </w:rPr>
        <w:t> </w:t>
      </w:r>
    </w:p>
    <w:p w14:paraId="21A5F1D4" w14:textId="7FFE5715" w:rsidR="00E63F20" w:rsidRDefault="00E63F20" w:rsidP="00150027">
      <w:pPr>
        <w:spacing w:after="0"/>
        <w:ind w:left="-720" w:right="-720"/>
        <w:rPr>
          <w:color w:val="000000"/>
          <w:shd w:val="clear" w:color="auto" w:fill="FFFFFF"/>
        </w:rPr>
      </w:pPr>
      <w:r w:rsidRPr="006C26CC">
        <w:rPr>
          <w:color w:val="000000"/>
          <w:shd w:val="clear" w:color="auto" w:fill="FFFFFF"/>
        </w:rPr>
        <w:t xml:space="preserve">Costs which are necessary to the performance of the scope of work and are easily identifiable and allocable to the project. </w:t>
      </w:r>
      <w:r w:rsidR="00CC55AA">
        <w:rPr>
          <w:color w:val="000000"/>
          <w:shd w:val="clear" w:color="auto" w:fill="FFFFFF"/>
        </w:rPr>
        <w:t>These costs directly benefit the scope of work. These costs must be allowable, allocable, necessary, and consistently treated. Examples include salary, fringe, supplies, travel, etc.</w:t>
      </w:r>
    </w:p>
    <w:p w14:paraId="38D4ADA6" w14:textId="501A0001" w:rsidR="00E63F20" w:rsidRDefault="00E63F20" w:rsidP="00C54D2D">
      <w:pPr>
        <w:spacing w:after="0"/>
        <w:ind w:left="-720" w:right="2160"/>
        <w:rPr>
          <w:color w:val="000000"/>
          <w:shd w:val="clear" w:color="auto" w:fill="FFFFFF"/>
        </w:rPr>
      </w:pPr>
    </w:p>
    <w:p w14:paraId="73D89551" w14:textId="6EF4C915" w:rsidR="00E63F20" w:rsidRDefault="00E63F20" w:rsidP="00C54D2D">
      <w:pPr>
        <w:spacing w:after="0"/>
        <w:ind w:left="-720" w:right="1440"/>
        <w:rPr>
          <w:b/>
          <w:color w:val="2F5496" w:themeColor="accent5" w:themeShade="BF"/>
          <w:sz w:val="26"/>
          <w:szCs w:val="26"/>
        </w:rPr>
      </w:pPr>
      <w:r>
        <w:rPr>
          <w:b/>
          <w:color w:val="2F5496" w:themeColor="accent5" w:themeShade="BF"/>
          <w:sz w:val="26"/>
          <w:szCs w:val="26"/>
        </w:rPr>
        <w:t xml:space="preserve">Effort </w:t>
      </w:r>
      <w:r w:rsidR="004A113E">
        <w:rPr>
          <w:b/>
          <w:color w:val="2F5496" w:themeColor="accent5" w:themeShade="BF"/>
          <w:sz w:val="26"/>
          <w:szCs w:val="26"/>
        </w:rPr>
        <w:t xml:space="preserve">Commitment </w:t>
      </w:r>
    </w:p>
    <w:p w14:paraId="75554D60" w14:textId="47816604" w:rsidR="00E63F20" w:rsidRDefault="004A113E" w:rsidP="00150027">
      <w:pPr>
        <w:spacing w:after="0"/>
        <w:ind w:left="-720" w:right="-720"/>
      </w:pPr>
      <w:r w:rsidRPr="004A113E">
        <w:t>A commitment is reflective of the promise of time/effort made to the sponsor.  This time can be designated over the life of the award, a project period, a budget period, or to specific terms.</w:t>
      </w:r>
    </w:p>
    <w:p w14:paraId="4A339021" w14:textId="77777777" w:rsidR="004A113E" w:rsidRDefault="004A113E" w:rsidP="00C54D2D">
      <w:pPr>
        <w:spacing w:after="0"/>
        <w:ind w:left="-720" w:right="1440"/>
      </w:pPr>
    </w:p>
    <w:p w14:paraId="025F90AF" w14:textId="77777777" w:rsidR="00E63F20" w:rsidRPr="004B2A1E" w:rsidRDefault="00E63F20" w:rsidP="00C54D2D">
      <w:pPr>
        <w:spacing w:after="0"/>
        <w:ind w:left="-720" w:right="2160"/>
        <w:rPr>
          <w:b/>
          <w:color w:val="2F5496" w:themeColor="accent5" w:themeShade="BF"/>
          <w:sz w:val="26"/>
          <w:szCs w:val="26"/>
          <w:shd w:val="clear" w:color="auto" w:fill="FFFFFF"/>
        </w:rPr>
      </w:pPr>
      <w:r>
        <w:rPr>
          <w:b/>
          <w:color w:val="2F5496" w:themeColor="accent5" w:themeShade="BF"/>
          <w:sz w:val="26"/>
          <w:szCs w:val="26"/>
          <w:shd w:val="clear" w:color="auto" w:fill="FFFFFF"/>
        </w:rPr>
        <w:lastRenderedPageBreak/>
        <w:t>Facilities &amp; Administrative (F&amp;A) Costs (</w:t>
      </w:r>
      <w:r w:rsidRPr="004B2A1E">
        <w:rPr>
          <w:b/>
          <w:color w:val="2F5496" w:themeColor="accent5" w:themeShade="BF"/>
          <w:sz w:val="26"/>
          <w:szCs w:val="26"/>
          <w:shd w:val="clear" w:color="auto" w:fill="FFFFFF"/>
        </w:rPr>
        <w:t>Indirect</w:t>
      </w:r>
      <w:r>
        <w:rPr>
          <w:b/>
          <w:color w:val="2F5496" w:themeColor="accent5" w:themeShade="BF"/>
          <w:sz w:val="26"/>
          <w:szCs w:val="26"/>
          <w:shd w:val="clear" w:color="auto" w:fill="FFFFFF"/>
        </w:rPr>
        <w:t xml:space="preserve"> Costs)</w:t>
      </w:r>
    </w:p>
    <w:p w14:paraId="273E2ED1" w14:textId="5170A07A" w:rsidR="00E63F20" w:rsidRDefault="00E63F20" w:rsidP="00150027">
      <w:pPr>
        <w:spacing w:after="0"/>
        <w:ind w:left="-720" w:right="-720"/>
        <w:rPr>
          <w:color w:val="000000"/>
          <w:shd w:val="clear" w:color="auto" w:fill="FFFFFF"/>
        </w:rPr>
      </w:pPr>
      <w:r>
        <w:rPr>
          <w:color w:val="000000"/>
          <w:shd w:val="clear" w:color="auto" w:fill="FFFFFF"/>
        </w:rPr>
        <w:t>F&amp;A</w:t>
      </w:r>
      <w:r w:rsidRPr="00636A24">
        <w:rPr>
          <w:color w:val="000000"/>
          <w:shd w:val="clear" w:color="auto" w:fill="FFFFFF"/>
        </w:rPr>
        <w:t xml:space="preserve"> costs represent the expenses of doing business that are not readily identified with a particular </w:t>
      </w:r>
      <w:r>
        <w:rPr>
          <w:color w:val="000000"/>
          <w:shd w:val="clear" w:color="auto" w:fill="FFFFFF"/>
        </w:rPr>
        <w:t>project</w:t>
      </w:r>
      <w:r w:rsidRPr="00636A24">
        <w:rPr>
          <w:color w:val="000000"/>
          <w:shd w:val="clear" w:color="auto" w:fill="FFFFFF"/>
        </w:rPr>
        <w:t xml:space="preserve"> or activity but are necessary for the general operation of the organization and the conduct of activities it performs.</w:t>
      </w:r>
      <w:r w:rsidR="00CC55AA">
        <w:rPr>
          <w:color w:val="000000"/>
          <w:shd w:val="clear" w:color="auto" w:fill="FFFFFF"/>
        </w:rPr>
        <w:t xml:space="preserve"> Also called indirect costs, IDC, or overhead. Examples include </w:t>
      </w:r>
      <w:proofErr w:type="gramStart"/>
      <w:r w:rsidR="00CC55AA">
        <w:rPr>
          <w:color w:val="000000"/>
          <w:shd w:val="clear" w:color="auto" w:fill="FFFFFF"/>
        </w:rPr>
        <w:t>general purpose</w:t>
      </w:r>
      <w:proofErr w:type="gramEnd"/>
      <w:r w:rsidR="00CC55AA">
        <w:rPr>
          <w:color w:val="000000"/>
          <w:shd w:val="clear" w:color="auto" w:fill="FFFFFF"/>
        </w:rPr>
        <w:t xml:space="preserve"> office supplies, administrative costs, building custodial services, utilities, </w:t>
      </w:r>
      <w:r w:rsidR="006A1F9A">
        <w:rPr>
          <w:color w:val="000000"/>
          <w:shd w:val="clear" w:color="auto" w:fill="FFFFFF"/>
        </w:rPr>
        <w:t xml:space="preserve">libraries, </w:t>
      </w:r>
      <w:r w:rsidR="00CC55AA">
        <w:rPr>
          <w:color w:val="000000"/>
          <w:shd w:val="clear" w:color="auto" w:fill="FFFFFF"/>
        </w:rPr>
        <w:t xml:space="preserve">etc. </w:t>
      </w:r>
    </w:p>
    <w:p w14:paraId="7DF3E346" w14:textId="1062EC3E" w:rsidR="00E63F20" w:rsidRDefault="00E63F20" w:rsidP="00C54D2D">
      <w:pPr>
        <w:spacing w:after="0"/>
        <w:ind w:left="-720" w:right="1440"/>
      </w:pPr>
    </w:p>
    <w:p w14:paraId="3234C630" w14:textId="77777777" w:rsidR="00E63F20" w:rsidRPr="004B2A1E" w:rsidRDefault="00E63F20" w:rsidP="00C54D2D">
      <w:pPr>
        <w:spacing w:after="0"/>
        <w:ind w:left="-720" w:right="2160"/>
        <w:rPr>
          <w:b/>
          <w:color w:val="2F5496" w:themeColor="accent5" w:themeShade="BF"/>
          <w:sz w:val="26"/>
          <w:szCs w:val="26"/>
        </w:rPr>
      </w:pPr>
      <w:r>
        <w:rPr>
          <w:b/>
          <w:color w:val="2F5496" w:themeColor="accent5" w:themeShade="BF"/>
          <w:sz w:val="26"/>
          <w:szCs w:val="26"/>
        </w:rPr>
        <w:t>F&amp;A (</w:t>
      </w:r>
      <w:r w:rsidRPr="004B2A1E">
        <w:rPr>
          <w:b/>
          <w:color w:val="2F5496" w:themeColor="accent5" w:themeShade="BF"/>
          <w:sz w:val="26"/>
          <w:szCs w:val="26"/>
        </w:rPr>
        <w:t>Indirect</w:t>
      </w:r>
      <w:r>
        <w:rPr>
          <w:b/>
          <w:color w:val="2F5496" w:themeColor="accent5" w:themeShade="BF"/>
          <w:sz w:val="26"/>
          <w:szCs w:val="26"/>
        </w:rPr>
        <w:t xml:space="preserve">) </w:t>
      </w:r>
      <w:r w:rsidRPr="004B2A1E">
        <w:rPr>
          <w:b/>
          <w:color w:val="2F5496" w:themeColor="accent5" w:themeShade="BF"/>
          <w:sz w:val="26"/>
          <w:szCs w:val="26"/>
        </w:rPr>
        <w:t>Cost Base</w:t>
      </w:r>
    </w:p>
    <w:p w14:paraId="2DA3E5F2" w14:textId="77777777" w:rsidR="00E63F20" w:rsidRPr="000F4600" w:rsidRDefault="00E63F20" w:rsidP="00150027">
      <w:pPr>
        <w:spacing w:after="0"/>
        <w:ind w:left="-720" w:right="-720"/>
      </w:pPr>
      <w:r w:rsidRPr="000F4600">
        <w:t>The F&amp;A rate is applied to a base of direct costs in order to determine the F&amp;A cost which can be calculated in one of the following ways:</w:t>
      </w:r>
    </w:p>
    <w:p w14:paraId="03B94BD6" w14:textId="77777777" w:rsidR="00E63F20" w:rsidRPr="000F4600" w:rsidRDefault="00E63F20" w:rsidP="00150027">
      <w:pPr>
        <w:numPr>
          <w:ilvl w:val="0"/>
          <w:numId w:val="2"/>
        </w:numPr>
        <w:spacing w:after="0"/>
        <w:ind w:left="-360" w:right="-720"/>
      </w:pPr>
      <w:r w:rsidRPr="000F4600">
        <w:t>TDC base = Total Direct Costs. All direct costs are included. There are no exclusions or modifiers. F&amp;A cost = TDC base x F&amp;A rate.</w:t>
      </w:r>
    </w:p>
    <w:p w14:paraId="769EF8D3" w14:textId="77777777" w:rsidR="00E63F20" w:rsidRPr="000F4600" w:rsidRDefault="00E63F20" w:rsidP="00150027">
      <w:pPr>
        <w:numPr>
          <w:ilvl w:val="0"/>
          <w:numId w:val="2"/>
        </w:numPr>
        <w:spacing w:after="0"/>
        <w:ind w:left="-360" w:right="-720"/>
      </w:pPr>
      <w:r w:rsidRPr="000F4600">
        <w:t>MTDC base = Modified Total Direct Costs. TDC minus equipment, patient care, tuition, participant support costs, rental costs of non-UF owned facilities, space, or other property, scholarships, fellowships, and the portion of each subaward in excess of $25,000. F&amp;A cost = MTDC base x F&amp;A rate.</w:t>
      </w:r>
    </w:p>
    <w:p w14:paraId="090104A6" w14:textId="142411D7" w:rsidR="00C54D2D" w:rsidRPr="00150027" w:rsidRDefault="00E63F20" w:rsidP="00150027">
      <w:pPr>
        <w:numPr>
          <w:ilvl w:val="0"/>
          <w:numId w:val="2"/>
        </w:numPr>
        <w:spacing w:after="0"/>
        <w:ind w:left="-360" w:right="-720"/>
      </w:pPr>
      <w:r w:rsidRPr="000F4600">
        <w:t>TFFA base = Total Federal Funds Awarded. For USDA or various other sponsor proposals, the F&amp;A is considered to be on the full amount of the award, which is actually calculated using TDC</w:t>
      </w:r>
    </w:p>
    <w:p w14:paraId="573E4E07" w14:textId="77777777" w:rsidR="00C54D2D" w:rsidRDefault="00C54D2D" w:rsidP="00C54D2D">
      <w:pPr>
        <w:spacing w:after="0"/>
        <w:ind w:left="-720" w:right="2160"/>
        <w:rPr>
          <w:b/>
          <w:color w:val="2F5496" w:themeColor="accent5" w:themeShade="BF"/>
          <w:sz w:val="26"/>
          <w:szCs w:val="26"/>
        </w:rPr>
      </w:pPr>
    </w:p>
    <w:p w14:paraId="0772319E" w14:textId="071BF979" w:rsidR="00E63F20" w:rsidRPr="004B2A1E" w:rsidRDefault="00E63F20" w:rsidP="00C54D2D">
      <w:pPr>
        <w:spacing w:after="0"/>
        <w:ind w:left="-720" w:right="2160"/>
        <w:rPr>
          <w:b/>
          <w:color w:val="2F5496" w:themeColor="accent5" w:themeShade="BF"/>
          <w:sz w:val="26"/>
          <w:szCs w:val="26"/>
        </w:rPr>
      </w:pPr>
      <w:r>
        <w:rPr>
          <w:b/>
          <w:color w:val="2F5496" w:themeColor="accent5" w:themeShade="BF"/>
          <w:sz w:val="26"/>
          <w:szCs w:val="26"/>
        </w:rPr>
        <w:t>F&amp;A (Indirect)</w:t>
      </w:r>
      <w:r w:rsidRPr="004B2A1E">
        <w:rPr>
          <w:b/>
          <w:color w:val="2F5496" w:themeColor="accent5" w:themeShade="BF"/>
          <w:sz w:val="26"/>
          <w:szCs w:val="26"/>
        </w:rPr>
        <w:t xml:space="preserve"> Cost Rate</w:t>
      </w:r>
    </w:p>
    <w:p w14:paraId="42E63C1C" w14:textId="0B8EB57C" w:rsidR="00E63F20" w:rsidRDefault="00E63F20" w:rsidP="00150027">
      <w:pPr>
        <w:spacing w:after="0"/>
        <w:ind w:left="-720" w:right="-720"/>
      </w:pPr>
      <w:r w:rsidRPr="000F4600">
        <w:t xml:space="preserve">The </w:t>
      </w:r>
      <w:r>
        <w:t>rate</w:t>
      </w:r>
      <w:r w:rsidRPr="000F4600">
        <w:t xml:space="preserve"> negotiated with the U.S. Department </w:t>
      </w:r>
      <w:r>
        <w:t>of Health and Human Services that</w:t>
      </w:r>
      <w:r w:rsidRPr="000F4600">
        <w:t xml:space="preserve"> reflects the cost of real, auditable expenses incurred in the conduct of research. </w:t>
      </w:r>
    </w:p>
    <w:p w14:paraId="6F7AEF01" w14:textId="5A2FEE53" w:rsidR="00E63F20" w:rsidRDefault="00E63F20" w:rsidP="00C54D2D">
      <w:pPr>
        <w:spacing w:after="0"/>
        <w:ind w:left="-720" w:right="2160"/>
      </w:pPr>
    </w:p>
    <w:p w14:paraId="7BAF60FD" w14:textId="77777777" w:rsidR="00E63F20" w:rsidRDefault="00E63F20" w:rsidP="00C54D2D">
      <w:pPr>
        <w:spacing w:after="0"/>
        <w:ind w:left="-720" w:right="2160"/>
        <w:rPr>
          <w:b/>
          <w:color w:val="2F5496" w:themeColor="accent5" w:themeShade="BF"/>
          <w:sz w:val="26"/>
          <w:szCs w:val="26"/>
        </w:rPr>
      </w:pPr>
      <w:r>
        <w:rPr>
          <w:b/>
          <w:color w:val="2F5496" w:themeColor="accent5" w:themeShade="BF"/>
          <w:sz w:val="26"/>
          <w:szCs w:val="26"/>
        </w:rPr>
        <w:t>Fringe Rate</w:t>
      </w:r>
    </w:p>
    <w:p w14:paraId="36118374" w14:textId="7CD50C37" w:rsidR="000E425A" w:rsidRDefault="00E63F20" w:rsidP="00150027">
      <w:pPr>
        <w:spacing w:after="0"/>
        <w:ind w:left="-720" w:right="-720"/>
        <w:rPr>
          <w:b/>
          <w:color w:val="2F5496" w:themeColor="accent5" w:themeShade="BF"/>
          <w:sz w:val="36"/>
          <w:szCs w:val="36"/>
        </w:rPr>
      </w:pPr>
      <w:r>
        <w:t xml:space="preserve">Fringe refers to “Fringe Benefits,” which are benefits, other than salary, associated with employment at UF (insurance, retirement, etc.). When salary for a UF employee </w:t>
      </w:r>
      <w:proofErr w:type="gramStart"/>
      <w:r>
        <w:t>is charged</w:t>
      </w:r>
      <w:proofErr w:type="gramEnd"/>
      <w:r>
        <w:t xml:space="preserve"> to a sponsored project, fringe is also included in order to cover the cost of these benefits. </w:t>
      </w:r>
    </w:p>
    <w:p w14:paraId="325C74F8" w14:textId="200014D4" w:rsidR="00E63F20" w:rsidRPr="00C54D2D" w:rsidRDefault="00E63F20" w:rsidP="00C54D2D">
      <w:pPr>
        <w:spacing w:after="0"/>
        <w:ind w:left="-720" w:right="2160"/>
        <w:rPr>
          <w:b/>
          <w:color w:val="2F5496" w:themeColor="accent5" w:themeShade="BF"/>
        </w:rPr>
      </w:pPr>
    </w:p>
    <w:p w14:paraId="319CE069" w14:textId="77777777" w:rsidR="00E63F20" w:rsidRDefault="00E63F20" w:rsidP="00C54D2D">
      <w:pPr>
        <w:spacing w:after="0"/>
        <w:ind w:left="-720" w:right="1440"/>
        <w:rPr>
          <w:b/>
          <w:color w:val="2F5496" w:themeColor="accent5" w:themeShade="BF"/>
          <w:sz w:val="26"/>
          <w:szCs w:val="26"/>
        </w:rPr>
      </w:pPr>
      <w:r>
        <w:rPr>
          <w:b/>
          <w:color w:val="2F5496" w:themeColor="accent5" w:themeShade="BF"/>
          <w:sz w:val="26"/>
          <w:szCs w:val="26"/>
        </w:rPr>
        <w:t xml:space="preserve">Key Personnel  </w:t>
      </w:r>
    </w:p>
    <w:p w14:paraId="3E2BCE79" w14:textId="69E39AB3" w:rsidR="00E63F20" w:rsidRDefault="00E63F20" w:rsidP="00150027">
      <w:pPr>
        <w:spacing w:after="0"/>
        <w:ind w:left="-720" w:right="-720"/>
      </w:pPr>
      <w:r>
        <w:t>Individuals whose specific expertise and involvement is necessary for completing the scope of work. Change in the involvement of these personnel typically requires changes to the scope of work.</w:t>
      </w:r>
    </w:p>
    <w:p w14:paraId="5BB2BF4F" w14:textId="77777777" w:rsidR="00BF1352" w:rsidRDefault="00BF1352" w:rsidP="00150027">
      <w:pPr>
        <w:spacing w:after="0"/>
        <w:ind w:left="-720" w:right="-720"/>
      </w:pPr>
    </w:p>
    <w:p w14:paraId="4CF2F84E" w14:textId="5B816605" w:rsidR="00BF1352" w:rsidRDefault="00BF1352" w:rsidP="00BF1352">
      <w:pPr>
        <w:spacing w:after="0"/>
        <w:ind w:left="-720" w:right="1440"/>
        <w:rPr>
          <w:b/>
          <w:color w:val="2F5496" w:themeColor="accent5" w:themeShade="BF"/>
          <w:sz w:val="26"/>
          <w:szCs w:val="26"/>
        </w:rPr>
      </w:pPr>
      <w:r>
        <w:rPr>
          <w:b/>
          <w:color w:val="2F5496" w:themeColor="accent5" w:themeShade="BF"/>
          <w:sz w:val="26"/>
          <w:szCs w:val="26"/>
        </w:rPr>
        <w:t>KK Budget Level</w:t>
      </w:r>
    </w:p>
    <w:p w14:paraId="46B23C26" w14:textId="1442A6B3" w:rsidR="00FC775C" w:rsidRDefault="00BF1352" w:rsidP="00FC775C">
      <w:pPr>
        <w:spacing w:after="0"/>
        <w:ind w:left="-720" w:right="-720"/>
      </w:pPr>
      <w:r>
        <w:t xml:space="preserve">The budget control level of the project. KK Level 3 indicates broad re-budgeting flexibility is available, and sponsor prior approval is not required. KK Level 5 indicates restrictions apply to re-budgeting, and sponsor prior approval may be required. KK Level 6 indicates granular-level restrictions apply to re-budgeting and sponsor prior approval is required.  </w:t>
      </w:r>
    </w:p>
    <w:p w14:paraId="5C01D94C" w14:textId="77777777" w:rsidR="006A1F9A" w:rsidRDefault="006A1F9A" w:rsidP="00FC775C">
      <w:pPr>
        <w:spacing w:after="0"/>
        <w:ind w:left="-720" w:right="-720"/>
      </w:pPr>
    </w:p>
    <w:p w14:paraId="585699CA" w14:textId="2B6B1931" w:rsidR="00E63F20" w:rsidRPr="00FC775C" w:rsidRDefault="00E63F20" w:rsidP="00FC775C">
      <w:pPr>
        <w:spacing w:after="0"/>
        <w:ind w:left="-720" w:right="-720"/>
      </w:pPr>
      <w:r w:rsidRPr="004B2A1E">
        <w:rPr>
          <w:b/>
          <w:color w:val="2F5496" w:themeColor="accent5" w:themeShade="BF"/>
          <w:sz w:val="26"/>
          <w:szCs w:val="26"/>
        </w:rPr>
        <w:t>Modifiers</w:t>
      </w:r>
    </w:p>
    <w:p w14:paraId="0D56C04A" w14:textId="53E4C50C" w:rsidR="00E63F20" w:rsidRDefault="00E63F20" w:rsidP="00150027">
      <w:pPr>
        <w:spacing w:after="0"/>
        <w:ind w:left="-720" w:right="-720"/>
      </w:pPr>
      <w:r>
        <w:t xml:space="preserve">Those cost categories excluded under the MTDC base as defined in UF’s indirect cost rate proposal.  Those categories are </w:t>
      </w:r>
      <w:r w:rsidRPr="000F4600">
        <w:t>equipment, patient care, tuition, participant support costs, rental costs of non-UF owned facilities, space, or other property, scholarships, fellowships, and the portion of each subaward in excess of $25,000.</w:t>
      </w:r>
    </w:p>
    <w:p w14:paraId="0A684B35" w14:textId="3F3F83DB" w:rsidR="00E63F20" w:rsidRDefault="00E63F20" w:rsidP="00C54D2D">
      <w:pPr>
        <w:spacing w:after="0"/>
        <w:ind w:left="-720" w:right="1440"/>
      </w:pPr>
    </w:p>
    <w:p w14:paraId="0CFD4578" w14:textId="77777777" w:rsidR="00E63F20" w:rsidRDefault="00E63F20" w:rsidP="00C54D2D">
      <w:pPr>
        <w:spacing w:after="0"/>
        <w:ind w:left="-720" w:right="1440"/>
        <w:rPr>
          <w:b/>
          <w:color w:val="2F5496" w:themeColor="accent5" w:themeShade="BF"/>
          <w:sz w:val="26"/>
          <w:szCs w:val="26"/>
        </w:rPr>
      </w:pPr>
      <w:proofErr w:type="spellStart"/>
      <w:r>
        <w:rPr>
          <w:b/>
          <w:color w:val="2F5496" w:themeColor="accent5" w:themeShade="BF"/>
          <w:sz w:val="26"/>
          <w:szCs w:val="26"/>
        </w:rPr>
        <w:t>myInvestigator</w:t>
      </w:r>
      <w:proofErr w:type="spellEnd"/>
    </w:p>
    <w:p w14:paraId="02B24B3E" w14:textId="30C39CD7" w:rsidR="00E63F20" w:rsidRDefault="00E63F20" w:rsidP="00150027">
      <w:pPr>
        <w:spacing w:after="0"/>
        <w:ind w:left="-720" w:right="-720"/>
      </w:pPr>
      <w:r w:rsidRPr="00797CE7">
        <w:t>The tool PIs may use to manage award budget and track spending.</w:t>
      </w:r>
    </w:p>
    <w:p w14:paraId="5B64AC2F" w14:textId="0A585CD2" w:rsidR="00E63F20" w:rsidRDefault="00E63F20" w:rsidP="00C54D2D">
      <w:pPr>
        <w:spacing w:after="0"/>
        <w:ind w:left="-720" w:right="1440"/>
      </w:pPr>
    </w:p>
    <w:p w14:paraId="5600144C" w14:textId="77777777" w:rsidR="00E63F20" w:rsidRDefault="00E63F20" w:rsidP="00C54D2D">
      <w:pPr>
        <w:spacing w:after="0"/>
        <w:ind w:left="-720" w:right="1440"/>
        <w:rPr>
          <w:b/>
          <w:color w:val="2F5496" w:themeColor="accent5" w:themeShade="BF"/>
          <w:sz w:val="26"/>
          <w:szCs w:val="26"/>
        </w:rPr>
      </w:pPr>
      <w:r>
        <w:rPr>
          <w:b/>
          <w:color w:val="2F5496" w:themeColor="accent5" w:themeShade="BF"/>
          <w:sz w:val="26"/>
          <w:szCs w:val="26"/>
        </w:rPr>
        <w:lastRenderedPageBreak/>
        <w:t>myUFL</w:t>
      </w:r>
    </w:p>
    <w:p w14:paraId="41583BF3" w14:textId="43C1990A" w:rsidR="00E63F20" w:rsidRDefault="00E63F20" w:rsidP="00150027">
      <w:pPr>
        <w:spacing w:after="0"/>
        <w:ind w:left="-720" w:right="-720"/>
      </w:pPr>
      <w:r w:rsidRPr="00797CE7">
        <w:t xml:space="preserve">The Enterprise Resource Planning (ERP) system used by UF to manage enterprise functions.  Can be used to </w:t>
      </w:r>
      <w:r>
        <w:t>view the Project Summary page.</w:t>
      </w:r>
    </w:p>
    <w:p w14:paraId="15AA1E09" w14:textId="77777777" w:rsidR="00C54D2D" w:rsidRDefault="00C54D2D" w:rsidP="00C54D2D">
      <w:pPr>
        <w:spacing w:after="0"/>
        <w:ind w:left="-720" w:right="1440"/>
      </w:pPr>
    </w:p>
    <w:p w14:paraId="23867AAF" w14:textId="77777777" w:rsidR="00E63F20" w:rsidRPr="004B2A1E" w:rsidRDefault="00E63F20" w:rsidP="00C54D2D">
      <w:pPr>
        <w:spacing w:after="0"/>
        <w:ind w:left="-720" w:right="2160"/>
        <w:rPr>
          <w:b/>
          <w:color w:val="2F5496" w:themeColor="accent5" w:themeShade="BF"/>
          <w:sz w:val="26"/>
          <w:szCs w:val="26"/>
        </w:rPr>
      </w:pPr>
      <w:r w:rsidRPr="004B2A1E">
        <w:rPr>
          <w:b/>
          <w:color w:val="2F5496" w:themeColor="accent5" w:themeShade="BF"/>
          <w:sz w:val="26"/>
          <w:szCs w:val="26"/>
        </w:rPr>
        <w:t>Project</w:t>
      </w:r>
    </w:p>
    <w:p w14:paraId="791D439E" w14:textId="538CC96D" w:rsidR="00E63F20" w:rsidRDefault="00E63F20" w:rsidP="00150027">
      <w:pPr>
        <w:spacing w:after="0"/>
        <w:ind w:left="-720" w:right="-720"/>
      </w:pPr>
      <w:r>
        <w:t>The bucket under which financial transactions accrue.  Allows segregation under an award for purposes of tracking individual award activities, budget periods or unit/project manager level administration of a portion of an award.</w:t>
      </w:r>
    </w:p>
    <w:p w14:paraId="5B1831AA" w14:textId="4A362325" w:rsidR="00E63F20" w:rsidRDefault="00E63F20" w:rsidP="00C54D2D">
      <w:pPr>
        <w:spacing w:after="0"/>
        <w:ind w:left="-720" w:right="2160"/>
      </w:pPr>
    </w:p>
    <w:p w14:paraId="04E62A4A" w14:textId="77777777" w:rsidR="00E63F20" w:rsidRPr="004B2A1E" w:rsidRDefault="00E63F20" w:rsidP="00C54D2D">
      <w:pPr>
        <w:pStyle w:val="Heading2"/>
      </w:pPr>
      <w:r w:rsidRPr="004B2A1E">
        <w:t>Project Summary page</w:t>
      </w:r>
    </w:p>
    <w:p w14:paraId="19EF1ADC" w14:textId="169F1528" w:rsidR="00E63F20" w:rsidRDefault="00E63F20" w:rsidP="00150027">
      <w:pPr>
        <w:spacing w:after="0"/>
        <w:ind w:left="-720" w:right="-720"/>
      </w:pPr>
      <w:r>
        <w:t>The Project Summary page is found in myUFL by navigating through Nav Bar &gt; Main Menu &gt; Financials &gt; Grants &gt; Awards &gt; Project Summary Page.  This provides a high-level overview of important project details. The header provides project demographic information and the lower section displays a summary of the project’s finances.</w:t>
      </w:r>
    </w:p>
    <w:p w14:paraId="08118776" w14:textId="77777777" w:rsidR="00E63F20" w:rsidRDefault="00E63F20" w:rsidP="00C54D2D">
      <w:pPr>
        <w:spacing w:after="0"/>
        <w:ind w:left="-720" w:right="1440"/>
      </w:pPr>
    </w:p>
    <w:p w14:paraId="41DC4644" w14:textId="77777777" w:rsidR="00E63F20" w:rsidRDefault="00E63F20" w:rsidP="00C54D2D">
      <w:pPr>
        <w:spacing w:after="0"/>
        <w:ind w:left="-720" w:right="2160"/>
        <w:rPr>
          <w:b/>
          <w:color w:val="2F5496" w:themeColor="accent5" w:themeShade="BF"/>
          <w:sz w:val="26"/>
          <w:szCs w:val="26"/>
        </w:rPr>
      </w:pPr>
      <w:r>
        <w:rPr>
          <w:b/>
          <w:color w:val="2F5496" w:themeColor="accent5" w:themeShade="BF"/>
          <w:sz w:val="26"/>
          <w:szCs w:val="26"/>
        </w:rPr>
        <w:t>Proposal</w:t>
      </w:r>
    </w:p>
    <w:p w14:paraId="3D8F59E0" w14:textId="0052FD43" w:rsidR="00E63F20" w:rsidRDefault="00E63F20" w:rsidP="00CC55AA">
      <w:pPr>
        <w:spacing w:after="0"/>
        <w:ind w:left="-720" w:right="-720"/>
      </w:pPr>
      <w:r>
        <w:t>A</w:t>
      </w:r>
      <w:r w:rsidR="00A5564F">
        <w:t>n application</w:t>
      </w:r>
      <w:r w:rsidR="00262860">
        <w:t xml:space="preserve"> submitted</w:t>
      </w:r>
      <w:r>
        <w:t xml:space="preserve"> in response to a sponsor’s invitation. The collection of documents and/or information that a sponsor has specified is necessary for response to their request. </w:t>
      </w:r>
    </w:p>
    <w:p w14:paraId="32B11EC5" w14:textId="77777777" w:rsidR="00223689" w:rsidRDefault="00223689" w:rsidP="00C54D2D">
      <w:pPr>
        <w:spacing w:after="0"/>
        <w:ind w:left="-720" w:right="1440"/>
        <w:rPr>
          <w:b/>
          <w:color w:val="2F5496" w:themeColor="accent5" w:themeShade="BF"/>
          <w:sz w:val="26"/>
          <w:szCs w:val="26"/>
        </w:rPr>
      </w:pPr>
    </w:p>
    <w:p w14:paraId="3ADACF88" w14:textId="3FB58B63" w:rsidR="00E63F20" w:rsidRPr="004B2A1E" w:rsidRDefault="00E63F20" w:rsidP="00C54D2D">
      <w:pPr>
        <w:spacing w:after="0"/>
        <w:ind w:left="-720" w:right="1440"/>
        <w:rPr>
          <w:b/>
          <w:color w:val="2F5496" w:themeColor="accent5" w:themeShade="BF"/>
          <w:sz w:val="26"/>
          <w:szCs w:val="26"/>
        </w:rPr>
      </w:pPr>
      <w:r>
        <w:rPr>
          <w:b/>
          <w:color w:val="2F5496" w:themeColor="accent5" w:themeShade="BF"/>
          <w:sz w:val="26"/>
          <w:szCs w:val="26"/>
        </w:rPr>
        <w:t>Scope of Work</w:t>
      </w:r>
    </w:p>
    <w:p w14:paraId="71ADFD49" w14:textId="7758718A" w:rsidR="00E63F20" w:rsidRDefault="00E63F20" w:rsidP="00150027">
      <w:pPr>
        <w:spacing w:after="0"/>
        <w:ind w:left="-720" w:right="-720"/>
      </w:pPr>
      <w:r>
        <w:t>The portion of a proposal that communicates the action plan that a PI will undertake if their submission is selected for funding. What/how research is to be accomplished.</w:t>
      </w:r>
    </w:p>
    <w:p w14:paraId="2D79E155" w14:textId="074C1FBF" w:rsidR="00E63F20" w:rsidRDefault="00E63F20" w:rsidP="00C54D2D">
      <w:pPr>
        <w:spacing w:after="0"/>
        <w:ind w:left="-720" w:right="2160"/>
      </w:pPr>
    </w:p>
    <w:p w14:paraId="297A172B" w14:textId="77777777" w:rsidR="00E63F20" w:rsidRDefault="00E63F20" w:rsidP="00C54D2D">
      <w:pPr>
        <w:spacing w:after="0"/>
        <w:ind w:left="-720" w:right="2160"/>
        <w:rPr>
          <w:b/>
          <w:color w:val="2F5496" w:themeColor="accent5" w:themeShade="BF"/>
          <w:sz w:val="26"/>
          <w:szCs w:val="26"/>
        </w:rPr>
      </w:pPr>
      <w:r>
        <w:rPr>
          <w:b/>
          <w:color w:val="2F5496" w:themeColor="accent5" w:themeShade="BF"/>
          <w:sz w:val="26"/>
          <w:szCs w:val="26"/>
        </w:rPr>
        <w:t>Solicitation</w:t>
      </w:r>
    </w:p>
    <w:p w14:paraId="12BE7D4A" w14:textId="4F8C916C" w:rsidR="00F41E78" w:rsidRDefault="00E63F20" w:rsidP="00150027">
      <w:pPr>
        <w:spacing w:after="0"/>
        <w:ind w:left="-720" w:right="-720"/>
        <w:rPr>
          <w:b/>
          <w:color w:val="2F5496" w:themeColor="accent5" w:themeShade="BF"/>
          <w:sz w:val="26"/>
          <w:szCs w:val="26"/>
        </w:rPr>
      </w:pPr>
      <w:r w:rsidRPr="00197F1E">
        <w:rPr>
          <w:rFonts w:cstheme="minorHAnsi"/>
          <w:bCs/>
        </w:rPr>
        <w:t>Invitation from funding sources to those interested in submitting applications</w:t>
      </w:r>
      <w:r>
        <w:rPr>
          <w:rFonts w:cstheme="minorHAnsi"/>
          <w:bCs/>
        </w:rPr>
        <w:t>.  Also known as Request for Proposal (RFP) or Call.</w:t>
      </w:r>
    </w:p>
    <w:p w14:paraId="1C34E801" w14:textId="77777777" w:rsidR="00E63F20" w:rsidRPr="00C54D2D" w:rsidRDefault="00E63F20" w:rsidP="00C54D2D">
      <w:pPr>
        <w:spacing w:after="0"/>
        <w:ind w:left="-720" w:right="2160"/>
        <w:rPr>
          <w:b/>
          <w:color w:val="2F5496" w:themeColor="accent5" w:themeShade="BF"/>
        </w:rPr>
      </w:pPr>
    </w:p>
    <w:p w14:paraId="184F4257" w14:textId="77777777" w:rsidR="00F41E78" w:rsidRPr="004B2A1E" w:rsidRDefault="00F41E78" w:rsidP="00C54D2D">
      <w:pPr>
        <w:spacing w:after="0"/>
        <w:ind w:left="-720" w:right="2160"/>
        <w:rPr>
          <w:b/>
          <w:color w:val="2F5496" w:themeColor="accent5" w:themeShade="BF"/>
          <w:sz w:val="26"/>
          <w:szCs w:val="26"/>
        </w:rPr>
      </w:pPr>
      <w:r w:rsidRPr="004B2A1E">
        <w:rPr>
          <w:b/>
          <w:color w:val="2F5496" w:themeColor="accent5" w:themeShade="BF"/>
          <w:sz w:val="26"/>
          <w:szCs w:val="26"/>
        </w:rPr>
        <w:t>Sponsor</w:t>
      </w:r>
    </w:p>
    <w:p w14:paraId="2EF145BF" w14:textId="3EBA655B" w:rsidR="00F41E78" w:rsidRPr="00FC775C" w:rsidRDefault="00F41E78" w:rsidP="00FC775C">
      <w:pPr>
        <w:spacing w:after="0"/>
        <w:ind w:left="-720" w:right="-720"/>
        <w:rPr>
          <w:b/>
          <w:color w:val="2F5496" w:themeColor="accent5" w:themeShade="BF"/>
          <w:sz w:val="26"/>
          <w:szCs w:val="26"/>
        </w:rPr>
      </w:pPr>
      <w:r>
        <w:t xml:space="preserve">Organization (funding source) that is </w:t>
      </w:r>
      <w:r w:rsidR="00CC55AA">
        <w:t>issuing</w:t>
      </w:r>
      <w:r>
        <w:t xml:space="preserve"> funds to the University of Florida.</w:t>
      </w:r>
    </w:p>
    <w:p w14:paraId="4641177C" w14:textId="77777777" w:rsidR="00FC775C" w:rsidRDefault="00FC775C" w:rsidP="00FC775C">
      <w:pPr>
        <w:spacing w:after="0"/>
        <w:ind w:left="-720" w:right="-720"/>
        <w:rPr>
          <w:b/>
          <w:color w:val="2F5496" w:themeColor="accent5" w:themeShade="BF"/>
          <w:sz w:val="26"/>
          <w:szCs w:val="26"/>
        </w:rPr>
      </w:pPr>
    </w:p>
    <w:p w14:paraId="10A65B08" w14:textId="58FEE918" w:rsidR="00FC775C" w:rsidRDefault="00FC775C" w:rsidP="00FC775C">
      <w:pPr>
        <w:spacing w:after="0"/>
        <w:ind w:left="-720" w:right="-720"/>
        <w:rPr>
          <w:rFonts w:cstheme="minorHAnsi"/>
          <w:bCs/>
        </w:rPr>
      </w:pPr>
      <w:r>
        <w:rPr>
          <w:b/>
          <w:color w:val="2F5496" w:themeColor="accent5" w:themeShade="BF"/>
          <w:sz w:val="26"/>
          <w:szCs w:val="26"/>
        </w:rPr>
        <w:t>Subaward</w:t>
      </w:r>
      <w:r w:rsidRPr="00FC775C">
        <w:rPr>
          <w:rFonts w:cstheme="minorHAnsi"/>
          <w:bCs/>
        </w:rPr>
        <w:t xml:space="preserve"> </w:t>
      </w:r>
    </w:p>
    <w:p w14:paraId="5D1E1720" w14:textId="1A48E06B" w:rsidR="00FC775C" w:rsidRDefault="00FC775C" w:rsidP="00FC775C">
      <w:pPr>
        <w:spacing w:after="0"/>
        <w:ind w:left="-720" w:right="-720"/>
        <w:rPr>
          <w:rFonts w:cstheme="minorHAnsi"/>
          <w:bCs/>
        </w:rPr>
      </w:pPr>
      <w:r w:rsidRPr="00FC775C">
        <w:rPr>
          <w:rFonts w:cstheme="minorHAnsi"/>
          <w:bCs/>
        </w:rPr>
        <w:t>An award that UF issues to another institution as a part of an award that UF has received. Funds flow through UF to the other institution, and the other institution has a similar commitment to UF in terms of fulfilling a scope of work in accordance with their budget.</w:t>
      </w:r>
    </w:p>
    <w:p w14:paraId="78D62EED" w14:textId="77777777" w:rsidR="00FC775C" w:rsidRPr="00FC775C" w:rsidRDefault="00FC775C" w:rsidP="00FC775C">
      <w:pPr>
        <w:spacing w:after="0"/>
        <w:ind w:left="-720" w:right="-720"/>
        <w:rPr>
          <w:rFonts w:cstheme="minorHAnsi"/>
          <w:bCs/>
        </w:rPr>
      </w:pPr>
    </w:p>
    <w:p w14:paraId="1413C0EC" w14:textId="2B1198C2" w:rsidR="00E63F20" w:rsidRDefault="00E63F20" w:rsidP="00C54D2D">
      <w:pPr>
        <w:spacing w:after="0"/>
        <w:ind w:left="-720" w:right="1440"/>
        <w:rPr>
          <w:rFonts w:cstheme="minorHAnsi"/>
          <w:bCs/>
        </w:rPr>
      </w:pPr>
      <w:r w:rsidRPr="008E6ADB">
        <w:rPr>
          <w:b/>
          <w:color w:val="2F5496" w:themeColor="accent5" w:themeShade="BF"/>
          <w:sz w:val="26"/>
          <w:szCs w:val="26"/>
        </w:rPr>
        <w:t>UFIRST</w:t>
      </w:r>
      <w:r>
        <w:rPr>
          <w:rFonts w:cstheme="minorHAnsi"/>
          <w:bCs/>
        </w:rPr>
        <w:t xml:space="preserve"> </w:t>
      </w:r>
    </w:p>
    <w:p w14:paraId="21B59B76" w14:textId="0B288AA2" w:rsidR="00FF32A5" w:rsidRDefault="00E63F20" w:rsidP="00150027">
      <w:pPr>
        <w:spacing w:after="0"/>
        <w:ind w:left="-720" w:right="-720"/>
        <w:rPr>
          <w:rFonts w:cstheme="minorHAnsi"/>
          <w:bCs/>
        </w:rPr>
      </w:pPr>
      <w:r>
        <w:rPr>
          <w:rFonts w:cstheme="minorHAnsi"/>
          <w:bCs/>
        </w:rPr>
        <w:t xml:space="preserve">The proposal, agreement and award management system of the University of Florida.  UFIRST is mandatory for the entry and routing of proposals and agreements managed by Sponsored Programs.  UFIRST allows transparent tracking throughout the lifecycle of the award from proposal development to proposal submission to award negotiation, setup and management. </w:t>
      </w:r>
      <w:bookmarkStart w:id="0" w:name="_GoBack"/>
      <w:bookmarkEnd w:id="0"/>
    </w:p>
    <w:p w14:paraId="3555DE04" w14:textId="77777777" w:rsidR="00223689" w:rsidRPr="00150027" w:rsidRDefault="00223689" w:rsidP="00150027">
      <w:pPr>
        <w:spacing w:after="0"/>
        <w:ind w:left="-720" w:right="-720"/>
        <w:rPr>
          <w:b/>
          <w:color w:val="2F5496" w:themeColor="accent5" w:themeShade="BF"/>
          <w:sz w:val="26"/>
          <w:szCs w:val="26"/>
        </w:rPr>
      </w:pPr>
    </w:p>
    <w:p w14:paraId="1CE94C40" w14:textId="10011C2A" w:rsidR="004004F8" w:rsidRPr="004004F8" w:rsidRDefault="004004F8" w:rsidP="004004F8">
      <w:pPr>
        <w:rPr>
          <w:rFonts w:cstheme="minorHAnsi"/>
        </w:rPr>
      </w:pPr>
    </w:p>
    <w:sectPr w:rsidR="004004F8" w:rsidRPr="004004F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01BD9" w14:textId="77777777" w:rsidR="008C6115" w:rsidRDefault="008C6115" w:rsidP="004B2A1E">
      <w:pPr>
        <w:spacing w:after="0" w:line="240" w:lineRule="auto"/>
      </w:pPr>
      <w:r>
        <w:separator/>
      </w:r>
    </w:p>
  </w:endnote>
  <w:endnote w:type="continuationSeparator" w:id="0">
    <w:p w14:paraId="0AA675B4" w14:textId="77777777" w:rsidR="008C6115" w:rsidRDefault="008C6115" w:rsidP="004B2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310E2" w14:textId="77777777" w:rsidR="008C6115" w:rsidRDefault="008C6115" w:rsidP="004B2A1E">
      <w:pPr>
        <w:spacing w:after="0" w:line="240" w:lineRule="auto"/>
      </w:pPr>
      <w:r>
        <w:separator/>
      </w:r>
    </w:p>
  </w:footnote>
  <w:footnote w:type="continuationSeparator" w:id="0">
    <w:p w14:paraId="027742B5" w14:textId="77777777" w:rsidR="008C6115" w:rsidRDefault="008C6115" w:rsidP="004B2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FE67C" w14:textId="7C3BDCD9" w:rsidR="00210D7B" w:rsidRDefault="007B5583">
    <w:pPr>
      <w:pStyle w:val="Header"/>
    </w:pPr>
    <w:r>
      <w:rPr>
        <w:noProof/>
      </w:rPr>
      <w:drawing>
        <wp:anchor distT="0" distB="0" distL="114300" distR="114300" simplePos="0" relativeHeight="251662336" behindDoc="0" locked="0" layoutInCell="1" allowOverlap="1" wp14:anchorId="1F463D68" wp14:editId="1F945DB5">
          <wp:simplePos x="0" y="0"/>
          <wp:positionH relativeFrom="column">
            <wp:posOffset>0</wp:posOffset>
          </wp:positionH>
          <wp:positionV relativeFrom="paragraph">
            <wp:posOffset>-209550</wp:posOffset>
          </wp:positionV>
          <wp:extent cx="1976656" cy="276225"/>
          <wp:effectExtent l="0" t="0" r="508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656" cy="276225"/>
                  </a:xfrm>
                  <a:prstGeom prst="rect">
                    <a:avLst/>
                  </a:prstGeom>
                  <a:noFill/>
                  <a:ln>
                    <a:noFill/>
                  </a:ln>
                </pic:spPr>
              </pic:pic>
            </a:graphicData>
          </a:graphic>
        </wp:anchor>
      </w:drawing>
    </w:r>
    <w:r w:rsidR="00210D7B" w:rsidRPr="00210D7B">
      <w:rPr>
        <w:noProof/>
      </w:rPr>
      <mc:AlternateContent>
        <mc:Choice Requires="wps">
          <w:drawing>
            <wp:anchor distT="45720" distB="45720" distL="114300" distR="114300" simplePos="0" relativeHeight="251660288" behindDoc="0" locked="0" layoutInCell="1" allowOverlap="1" wp14:anchorId="520EB36F" wp14:editId="0DA57136">
              <wp:simplePos x="0" y="0"/>
              <wp:positionH relativeFrom="margin">
                <wp:posOffset>2105025</wp:posOffset>
              </wp:positionH>
              <wp:positionV relativeFrom="paragraph">
                <wp:posOffset>106045</wp:posOffset>
              </wp:positionV>
              <wp:extent cx="4581525" cy="35052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350520"/>
                      </a:xfrm>
                      <a:prstGeom prst="rect">
                        <a:avLst/>
                      </a:prstGeom>
                      <a:noFill/>
                      <a:ln w="9525">
                        <a:noFill/>
                        <a:miter lim="800000"/>
                        <a:headEnd/>
                        <a:tailEnd/>
                      </a:ln>
                    </wps:spPr>
                    <wps:txbx>
                      <w:txbxContent>
                        <w:p w14:paraId="1FABED33" w14:textId="77777777" w:rsidR="00210D7B" w:rsidRPr="00047B3B" w:rsidRDefault="00210D7B" w:rsidP="00210D7B">
                          <w:pPr>
                            <w:jc w:val="right"/>
                            <w:rPr>
                              <w:rFonts w:ascii="Agency FB" w:hAnsi="Agency FB"/>
                              <w:color w:val="005596"/>
                              <w:sz w:val="28"/>
                            </w:rPr>
                          </w:pPr>
                          <w:r>
                            <w:rPr>
                              <w:rFonts w:ascii="Agency FB" w:hAnsi="Agency FB"/>
                              <w:color w:val="005596"/>
                              <w:sz w:val="28"/>
                            </w:rPr>
                            <w:t>Fiscal Onboarding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0EB36F" id="_x0000_t202" coordsize="21600,21600" o:spt="202" path="m,l,21600r21600,l21600,xe">
              <v:stroke joinstyle="miter"/>
              <v:path gradientshapeok="t" o:connecttype="rect"/>
            </v:shapetype>
            <v:shape id="Text Box 9" o:spid="_x0000_s1026" type="#_x0000_t202" style="position:absolute;margin-left:165.75pt;margin-top:8.35pt;width:360.75pt;height:27.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QhCAIAAPIDAAAOAAAAZHJzL2Uyb0RvYy54bWysU9tu2zAMfR+wfxD0vtjJki0x4hRduw4D&#10;ugvQ7gMYWY6FSaImKbGzrx8lp2nQvQ3TgyCJ5CHPIbW+GoxmB+mDQlvz6aTkTFqBjbK7mv94vHuz&#10;5CxEsA1otLLmRxn41eb1q3XvKjnDDnUjPSMQG6re1byL0VVFEUQnDYQJOmnJ2KI3EOnqd0XjoSd0&#10;o4tZWb4revSN8yhkCPR6Oxr5JuO3rRTxW9sGGZmuOdUW8+7zvk17sVlDtfPgOiVOZcA/VGFAWUp6&#10;hrqFCGzv1V9QRgmPAds4EWgKbFslZOZAbKblCzYPHTiZuZA4wZ1lCv8PVnw9fPdMNTVfcWbBUIse&#10;5RDZBxzYKqnTu1CR04MjtzjQM3U5Mw3uHsXPwCzedGB38tp77DsJDVU3TZHFReiIExLItv+CDaWB&#10;fcQMNLTeJOlIDEbo1KXjuTOpFEGP88VyupgtOBNke7soF7PcugKqp2jnQ/wk0bB0qLmnzmd0ONyH&#10;mKqB6sklJbN4p7TO3deW9UQ/wb+wGBVpOLUyNV+WaY3jkkh+tE0OjqD0eKYE2p5YJ6Ij5ThsB3JM&#10;UmyxORJ/j+MQ0qehQ4f+N2c9DWDNw689eMmZ/mxJw9V0Pk8Tmy/zxXtizPylZXtpASsIquaRs/F4&#10;E/OUj4yuSetWZRmeKznVSoOV1Tl9gjS5l/fs9fxVN38AAAD//wMAUEsDBBQABgAIAAAAIQCdt3lT&#10;4gAAAA8BAAAPAAAAZHJzL2Rvd25yZXYueG1sTI9BT8MwDIXvSPyHyEjcWFJKN9Y1nRATVxCDTeKW&#10;NV5b0ThVk63l3+Od4GLJes/P7yvWk+vEGYfQetKQzBQIpMrblmoNnx8vd48gQjRkTecJNfxggHV5&#10;fVWY3PqR3vG8jbXgEAq50dDE2OdShqpBZ8LM90isHf3gTOR1qKUdzMjhrpP3Ss2lMy3xh8b0+Nxg&#10;9b09OQ271+PX/kG91RuX9aOflCS3lFrf3kybFY+nFYiIU/y7gAsD94eSix38iWwQnYY0TTK2sjBf&#10;gLgYVJYy4kHDIlmCLAv5n6P8BQAA//8DAFBLAQItABQABgAIAAAAIQC2gziS/gAAAOEBAAATAAAA&#10;AAAAAAAAAAAAAAAAAABbQ29udGVudF9UeXBlc10ueG1sUEsBAi0AFAAGAAgAAAAhADj9If/WAAAA&#10;lAEAAAsAAAAAAAAAAAAAAAAALwEAAF9yZWxzLy5yZWxzUEsBAi0AFAAGAAgAAAAhABihtCEIAgAA&#10;8gMAAA4AAAAAAAAAAAAAAAAALgIAAGRycy9lMm9Eb2MueG1sUEsBAi0AFAAGAAgAAAAhAJ23eVPi&#10;AAAADwEAAA8AAAAAAAAAAAAAAAAAYgQAAGRycy9kb3ducmV2LnhtbFBLBQYAAAAABAAEAPMAAABx&#10;BQAAAAA=&#10;" filled="f" stroked="f">
              <v:textbox>
                <w:txbxContent>
                  <w:p w14:paraId="1FABED33" w14:textId="77777777" w:rsidR="00210D7B" w:rsidRPr="00047B3B" w:rsidRDefault="00210D7B" w:rsidP="00210D7B">
                    <w:pPr>
                      <w:jc w:val="right"/>
                      <w:rPr>
                        <w:rFonts w:ascii="Agency FB" w:hAnsi="Agency FB"/>
                        <w:color w:val="005596"/>
                        <w:sz w:val="28"/>
                      </w:rPr>
                    </w:pPr>
                    <w:r>
                      <w:rPr>
                        <w:rFonts w:ascii="Agency FB" w:hAnsi="Agency FB"/>
                        <w:color w:val="005596"/>
                        <w:sz w:val="28"/>
                      </w:rPr>
                      <w:t>Fiscal Onboarding</w:t>
                    </w:r>
                  </w:p>
                </w:txbxContent>
              </v:textbox>
              <w10:wrap anchorx="margin"/>
            </v:shape>
          </w:pict>
        </mc:Fallback>
      </mc:AlternateContent>
    </w:r>
    <w:r w:rsidR="00210D7B" w:rsidRPr="00210D7B">
      <w:rPr>
        <w:noProof/>
      </w:rPr>
      <w:drawing>
        <wp:anchor distT="0" distB="0" distL="114300" distR="114300" simplePos="0" relativeHeight="251659264" behindDoc="0" locked="0" layoutInCell="1" allowOverlap="1" wp14:anchorId="011B7625" wp14:editId="06342246">
          <wp:simplePos x="0" y="0"/>
          <wp:positionH relativeFrom="margin">
            <wp:posOffset>4133850</wp:posOffset>
          </wp:positionH>
          <wp:positionV relativeFrom="paragraph">
            <wp:posOffset>-190500</wp:posOffset>
          </wp:positionV>
          <wp:extent cx="2552700" cy="2381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header-IG.png"/>
                  <pic:cNvPicPr/>
                </pic:nvPicPr>
                <pic:blipFill>
                  <a:blip r:embed="rId2">
                    <a:extLst>
                      <a:ext uri="{28A0092B-C50C-407E-A947-70E740481C1C}">
                        <a14:useLocalDpi xmlns:a14="http://schemas.microsoft.com/office/drawing/2010/main" val="0"/>
                      </a:ext>
                    </a:extLst>
                  </a:blip>
                  <a:stretch>
                    <a:fillRect/>
                  </a:stretch>
                </pic:blipFill>
                <pic:spPr>
                  <a:xfrm>
                    <a:off x="0" y="0"/>
                    <a:ext cx="2552700" cy="238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97ECD"/>
    <w:multiLevelType w:val="hybridMultilevel"/>
    <w:tmpl w:val="53CE90F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4044288"/>
    <w:multiLevelType w:val="hybridMultilevel"/>
    <w:tmpl w:val="1F22D48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4E2E0114"/>
    <w:multiLevelType w:val="hybridMultilevel"/>
    <w:tmpl w:val="196A811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54504377"/>
    <w:multiLevelType w:val="hybridMultilevel"/>
    <w:tmpl w:val="D0C0F1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569F58C1"/>
    <w:multiLevelType w:val="multilevel"/>
    <w:tmpl w:val="634CC9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5BF46AF1"/>
    <w:multiLevelType w:val="hybridMultilevel"/>
    <w:tmpl w:val="C7FE1996"/>
    <w:lvl w:ilvl="0" w:tplc="3A46119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67E05BB5"/>
    <w:multiLevelType w:val="hybridMultilevel"/>
    <w:tmpl w:val="D0B2D99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5A"/>
    <w:rsid w:val="000039DD"/>
    <w:rsid w:val="0004781B"/>
    <w:rsid w:val="000652E9"/>
    <w:rsid w:val="000739EA"/>
    <w:rsid w:val="000A57B9"/>
    <w:rsid w:val="000B1023"/>
    <w:rsid w:val="000B1823"/>
    <w:rsid w:val="000E425A"/>
    <w:rsid w:val="000F4600"/>
    <w:rsid w:val="00115F28"/>
    <w:rsid w:val="001174AB"/>
    <w:rsid w:val="0012339E"/>
    <w:rsid w:val="00150027"/>
    <w:rsid w:val="00150813"/>
    <w:rsid w:val="00182609"/>
    <w:rsid w:val="001866F5"/>
    <w:rsid w:val="00197F1E"/>
    <w:rsid w:val="001A102E"/>
    <w:rsid w:val="001B566B"/>
    <w:rsid w:val="001D3805"/>
    <w:rsid w:val="001E5F6A"/>
    <w:rsid w:val="00207C33"/>
    <w:rsid w:val="00210D7B"/>
    <w:rsid w:val="00223689"/>
    <w:rsid w:val="00231496"/>
    <w:rsid w:val="00262860"/>
    <w:rsid w:val="00281FC7"/>
    <w:rsid w:val="002D0F93"/>
    <w:rsid w:val="002F129C"/>
    <w:rsid w:val="002F46AB"/>
    <w:rsid w:val="0031061B"/>
    <w:rsid w:val="0031753C"/>
    <w:rsid w:val="00336CEE"/>
    <w:rsid w:val="00376EA4"/>
    <w:rsid w:val="003B7286"/>
    <w:rsid w:val="003D5F20"/>
    <w:rsid w:val="003F2988"/>
    <w:rsid w:val="004004F8"/>
    <w:rsid w:val="004253A5"/>
    <w:rsid w:val="00461147"/>
    <w:rsid w:val="004628ED"/>
    <w:rsid w:val="004A113E"/>
    <w:rsid w:val="004B2A1E"/>
    <w:rsid w:val="004E45BD"/>
    <w:rsid w:val="004E7E36"/>
    <w:rsid w:val="004F0237"/>
    <w:rsid w:val="004F1EBA"/>
    <w:rsid w:val="005D3E3F"/>
    <w:rsid w:val="006353F6"/>
    <w:rsid w:val="00636A24"/>
    <w:rsid w:val="006400DF"/>
    <w:rsid w:val="00663494"/>
    <w:rsid w:val="006A1571"/>
    <w:rsid w:val="006A1F9A"/>
    <w:rsid w:val="006B1980"/>
    <w:rsid w:val="006C26CC"/>
    <w:rsid w:val="00705EF0"/>
    <w:rsid w:val="007249EA"/>
    <w:rsid w:val="00732FBE"/>
    <w:rsid w:val="00742C64"/>
    <w:rsid w:val="00747FD2"/>
    <w:rsid w:val="007657AF"/>
    <w:rsid w:val="00766BE3"/>
    <w:rsid w:val="00797CE7"/>
    <w:rsid w:val="007B5583"/>
    <w:rsid w:val="00862E8D"/>
    <w:rsid w:val="008B4118"/>
    <w:rsid w:val="008C03BC"/>
    <w:rsid w:val="008C6115"/>
    <w:rsid w:val="008D1BBD"/>
    <w:rsid w:val="008E6345"/>
    <w:rsid w:val="008E6ADB"/>
    <w:rsid w:val="00947370"/>
    <w:rsid w:val="009A7144"/>
    <w:rsid w:val="009D6161"/>
    <w:rsid w:val="00A25F91"/>
    <w:rsid w:val="00A43936"/>
    <w:rsid w:val="00A54DE7"/>
    <w:rsid w:val="00A5564F"/>
    <w:rsid w:val="00A6237D"/>
    <w:rsid w:val="00AD31B9"/>
    <w:rsid w:val="00B448DE"/>
    <w:rsid w:val="00BC45F7"/>
    <w:rsid w:val="00BF1352"/>
    <w:rsid w:val="00C128C8"/>
    <w:rsid w:val="00C51899"/>
    <w:rsid w:val="00C54D2D"/>
    <w:rsid w:val="00CC55AA"/>
    <w:rsid w:val="00CE358E"/>
    <w:rsid w:val="00D01CB1"/>
    <w:rsid w:val="00D364E0"/>
    <w:rsid w:val="00D77D81"/>
    <w:rsid w:val="00DC1AB5"/>
    <w:rsid w:val="00DE1299"/>
    <w:rsid w:val="00DF0620"/>
    <w:rsid w:val="00E63F20"/>
    <w:rsid w:val="00E641F0"/>
    <w:rsid w:val="00EA4E31"/>
    <w:rsid w:val="00EB1E1B"/>
    <w:rsid w:val="00EE0178"/>
    <w:rsid w:val="00EF1D3F"/>
    <w:rsid w:val="00EF6D36"/>
    <w:rsid w:val="00F350AA"/>
    <w:rsid w:val="00F41E78"/>
    <w:rsid w:val="00FA0AC7"/>
    <w:rsid w:val="00FC6A03"/>
    <w:rsid w:val="00FC775C"/>
    <w:rsid w:val="00FE14E2"/>
    <w:rsid w:val="00FF3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4120C2"/>
  <w15:chartTrackingRefBased/>
  <w15:docId w15:val="{9E2AB868-2169-4EE7-9C94-DAC381D2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2A5"/>
  </w:style>
  <w:style w:type="paragraph" w:styleId="Heading1">
    <w:name w:val="heading 1"/>
    <w:basedOn w:val="Normal"/>
    <w:next w:val="Normal"/>
    <w:link w:val="Heading1Char"/>
    <w:uiPriority w:val="9"/>
    <w:qFormat/>
    <w:rsid w:val="00FE14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03BC"/>
    <w:pPr>
      <w:spacing w:before="120" w:after="0"/>
      <w:ind w:left="-720" w:right="2160"/>
      <w:outlineLvl w:val="1"/>
    </w:pPr>
    <w:rPr>
      <w:b/>
      <w:color w:val="2F5496" w:themeColor="accent5"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25A"/>
    <w:pPr>
      <w:ind w:left="720"/>
      <w:contextualSpacing/>
    </w:pPr>
  </w:style>
  <w:style w:type="character" w:styleId="Hyperlink">
    <w:name w:val="Hyperlink"/>
    <w:basedOn w:val="DefaultParagraphFont"/>
    <w:uiPriority w:val="99"/>
    <w:unhideWhenUsed/>
    <w:rsid w:val="00636A24"/>
    <w:rPr>
      <w:color w:val="0000FF"/>
      <w:u w:val="single"/>
    </w:rPr>
  </w:style>
  <w:style w:type="paragraph" w:styleId="Header">
    <w:name w:val="header"/>
    <w:basedOn w:val="Normal"/>
    <w:link w:val="HeaderChar"/>
    <w:uiPriority w:val="99"/>
    <w:unhideWhenUsed/>
    <w:rsid w:val="004B2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A1E"/>
  </w:style>
  <w:style w:type="paragraph" w:styleId="Footer">
    <w:name w:val="footer"/>
    <w:basedOn w:val="Normal"/>
    <w:link w:val="FooterChar"/>
    <w:uiPriority w:val="99"/>
    <w:unhideWhenUsed/>
    <w:rsid w:val="004B2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A1E"/>
  </w:style>
  <w:style w:type="character" w:styleId="Strong">
    <w:name w:val="Strong"/>
    <w:basedOn w:val="DefaultParagraphFont"/>
    <w:uiPriority w:val="2"/>
    <w:qFormat/>
    <w:rsid w:val="004B2A1E"/>
    <w:rPr>
      <w:b w:val="0"/>
      <w:bCs w:val="0"/>
      <w:color w:val="2E74B5" w:themeColor="accent1" w:themeShade="BF"/>
    </w:rPr>
  </w:style>
  <w:style w:type="paragraph" w:styleId="BalloonText">
    <w:name w:val="Balloon Text"/>
    <w:basedOn w:val="Normal"/>
    <w:link w:val="BalloonTextChar"/>
    <w:uiPriority w:val="99"/>
    <w:semiHidden/>
    <w:unhideWhenUsed/>
    <w:rsid w:val="00705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EF0"/>
    <w:rPr>
      <w:rFonts w:ascii="Segoe UI" w:hAnsi="Segoe UI" w:cs="Segoe UI"/>
      <w:sz w:val="18"/>
      <w:szCs w:val="18"/>
    </w:rPr>
  </w:style>
  <w:style w:type="character" w:customStyle="1" w:styleId="Heading1Char">
    <w:name w:val="Heading 1 Char"/>
    <w:basedOn w:val="DefaultParagraphFont"/>
    <w:link w:val="Heading1"/>
    <w:uiPriority w:val="9"/>
    <w:rsid w:val="00FE14E2"/>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8E6ADB"/>
    <w:rPr>
      <w:color w:val="605E5C"/>
      <w:shd w:val="clear" w:color="auto" w:fill="E1DFDD"/>
    </w:rPr>
  </w:style>
  <w:style w:type="character" w:customStyle="1" w:styleId="Heading2Char">
    <w:name w:val="Heading 2 Char"/>
    <w:basedOn w:val="DefaultParagraphFont"/>
    <w:link w:val="Heading2"/>
    <w:uiPriority w:val="9"/>
    <w:rsid w:val="008C03BC"/>
    <w:rPr>
      <w:b/>
      <w:color w:val="2F5496" w:themeColor="accent5" w:themeShade="BF"/>
      <w:sz w:val="26"/>
      <w:szCs w:val="26"/>
    </w:rPr>
  </w:style>
  <w:style w:type="character" w:styleId="CommentReference">
    <w:name w:val="annotation reference"/>
    <w:basedOn w:val="DefaultParagraphFont"/>
    <w:uiPriority w:val="99"/>
    <w:semiHidden/>
    <w:unhideWhenUsed/>
    <w:rsid w:val="00EB1E1B"/>
    <w:rPr>
      <w:sz w:val="16"/>
      <w:szCs w:val="16"/>
    </w:rPr>
  </w:style>
  <w:style w:type="paragraph" w:styleId="CommentText">
    <w:name w:val="annotation text"/>
    <w:basedOn w:val="Normal"/>
    <w:link w:val="CommentTextChar"/>
    <w:uiPriority w:val="99"/>
    <w:semiHidden/>
    <w:unhideWhenUsed/>
    <w:rsid w:val="00EB1E1B"/>
    <w:pPr>
      <w:spacing w:line="240" w:lineRule="auto"/>
    </w:pPr>
    <w:rPr>
      <w:sz w:val="20"/>
      <w:szCs w:val="20"/>
    </w:rPr>
  </w:style>
  <w:style w:type="character" w:customStyle="1" w:styleId="CommentTextChar">
    <w:name w:val="Comment Text Char"/>
    <w:basedOn w:val="DefaultParagraphFont"/>
    <w:link w:val="CommentText"/>
    <w:uiPriority w:val="99"/>
    <w:semiHidden/>
    <w:rsid w:val="00EB1E1B"/>
    <w:rPr>
      <w:sz w:val="20"/>
      <w:szCs w:val="20"/>
    </w:rPr>
  </w:style>
  <w:style w:type="paragraph" w:styleId="CommentSubject">
    <w:name w:val="annotation subject"/>
    <w:basedOn w:val="CommentText"/>
    <w:next w:val="CommentText"/>
    <w:link w:val="CommentSubjectChar"/>
    <w:uiPriority w:val="99"/>
    <w:semiHidden/>
    <w:unhideWhenUsed/>
    <w:rsid w:val="00EB1E1B"/>
    <w:rPr>
      <w:b/>
      <w:bCs/>
    </w:rPr>
  </w:style>
  <w:style w:type="character" w:customStyle="1" w:styleId="CommentSubjectChar">
    <w:name w:val="Comment Subject Char"/>
    <w:basedOn w:val="CommentTextChar"/>
    <w:link w:val="CommentSubject"/>
    <w:uiPriority w:val="99"/>
    <w:semiHidden/>
    <w:rsid w:val="00EB1E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9201">
      <w:bodyDiv w:val="1"/>
      <w:marLeft w:val="0"/>
      <w:marRight w:val="0"/>
      <w:marTop w:val="0"/>
      <w:marBottom w:val="0"/>
      <w:divBdr>
        <w:top w:val="none" w:sz="0" w:space="0" w:color="auto"/>
        <w:left w:val="none" w:sz="0" w:space="0" w:color="auto"/>
        <w:bottom w:val="none" w:sz="0" w:space="0" w:color="auto"/>
        <w:right w:val="none" w:sz="0" w:space="0" w:color="auto"/>
      </w:divBdr>
    </w:div>
    <w:div w:id="878664352">
      <w:bodyDiv w:val="1"/>
      <w:marLeft w:val="0"/>
      <w:marRight w:val="0"/>
      <w:marTop w:val="0"/>
      <w:marBottom w:val="0"/>
      <w:divBdr>
        <w:top w:val="none" w:sz="0" w:space="0" w:color="auto"/>
        <w:left w:val="none" w:sz="0" w:space="0" w:color="auto"/>
        <w:bottom w:val="none" w:sz="0" w:space="0" w:color="auto"/>
        <w:right w:val="none" w:sz="0" w:space="0" w:color="auto"/>
      </w:divBdr>
    </w:div>
    <w:div w:id="13718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research.ufl.edu/dsp/proposals/budgeting/direct-costs.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BBD806FA52974D90C10926F69C425F" ma:contentTypeVersion="6" ma:contentTypeDescription="Create a new document." ma:contentTypeScope="" ma:versionID="4cf830d9a08c2966b4ea515967610792">
  <xsd:schema xmlns:xsd="http://www.w3.org/2001/XMLSchema" xmlns:xs="http://www.w3.org/2001/XMLSchema" xmlns:p="http://schemas.microsoft.com/office/2006/metadata/properties" xmlns:ns2="748832b0-06fa-40cd-acb3-5b71b40971c4" xmlns:ns3="c60e913e-00ff-4fed-9b66-caced3a2cf30" targetNamespace="http://schemas.microsoft.com/office/2006/metadata/properties" ma:root="true" ma:fieldsID="abf7e67f0a8031dfacc3745667348e01" ns2:_="" ns3:_="">
    <xsd:import namespace="748832b0-06fa-40cd-acb3-5b71b40971c4"/>
    <xsd:import namespace="c60e913e-00ff-4fed-9b66-caced3a2cf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832b0-06fa-40cd-acb3-5b71b4097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0e913e-00ff-4fed-9b66-caced3a2cf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6346A-068B-40D8-9CA3-8E85C32DEAB3}">
  <ds:schemaRefs>
    <ds:schemaRef ds:uri="c60e913e-00ff-4fed-9b66-caced3a2cf30"/>
    <ds:schemaRef ds:uri="http://purl.org/dc/elements/1.1/"/>
    <ds:schemaRef ds:uri="http://schemas.microsoft.com/office/2006/metadata/properties"/>
    <ds:schemaRef ds:uri="748832b0-06fa-40cd-acb3-5b71b40971c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C0AF1A3E-5FF7-4916-BC74-D8602D11C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832b0-06fa-40cd-acb3-5b71b40971c4"/>
    <ds:schemaRef ds:uri="c60e913e-00ff-4fed-9b66-caced3a2c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7300DE-5D76-47F5-8EB2-427B7E326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Schmidt,Tiffany M</dc:creator>
  <cp:keywords/>
  <dc:description/>
  <cp:lastModifiedBy>Mullaney, Melissa</cp:lastModifiedBy>
  <cp:revision>2</cp:revision>
  <cp:lastPrinted>2020-02-21T15:31:00Z</cp:lastPrinted>
  <dcterms:created xsi:type="dcterms:W3CDTF">2022-09-01T13:13:00Z</dcterms:created>
  <dcterms:modified xsi:type="dcterms:W3CDTF">2022-09-01T13:13:00Z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0x01010066BBD806FA52974D90C10926F69C425F</vt:lpwstr>
  </property>
</Properties>
</file>