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31" w:right="-15" w:firstLine="0"/>
        <w:rPr>
          <w:sz w:val="20"/>
        </w:rPr>
      </w:pPr>
      <w:r>
        <w:rPr>
          <w:sz w:val="20"/>
        </w:rPr>
        <w:drawing>
          <wp:inline distT="0" distB="0" distL="0" distR="0">
            <wp:extent cx="1930589" cy="480441"/>
            <wp:effectExtent l="0" t="0" r="0" b="0"/>
            <wp:docPr id="3" name="Image 3" descr="GeneralAcct_FinancialReporting "/>
            <wp:cNvGraphicFramePr>
              <a:graphicFrameLocks/>
            </wp:cNvGraphicFramePr>
            <a:graphic>
              <a:graphicData uri="http://schemas.openxmlformats.org/drawingml/2006/picture">
                <pic:pic>
                  <pic:nvPicPr>
                    <pic:cNvPr id="3" name="Image 3" descr="GeneralAcct_FinancialReporting "/>
                    <pic:cNvPicPr/>
                  </pic:nvPicPr>
                  <pic:blipFill>
                    <a:blip r:embed="rId6" cstate="print"/>
                    <a:stretch>
                      <a:fillRect/>
                    </a:stretch>
                  </pic:blipFill>
                  <pic:spPr>
                    <a:xfrm>
                      <a:off x="0" y="0"/>
                      <a:ext cx="1930589" cy="480441"/>
                    </a:xfrm>
                    <a:prstGeom prst="rect">
                      <a:avLst/>
                    </a:prstGeom>
                  </pic:spPr>
                </pic:pic>
              </a:graphicData>
            </a:graphic>
          </wp:inline>
        </w:drawing>
      </w:r>
      <w:r>
        <w:rPr>
          <w:sz w:val="20"/>
        </w:rPr>
      </w:r>
    </w:p>
    <w:p>
      <w:pPr>
        <w:pStyle w:val="BodyText"/>
        <w:ind w:left="0"/>
      </w:pPr>
    </w:p>
    <w:p>
      <w:pPr>
        <w:pStyle w:val="BodyText"/>
        <w:spacing w:before="180"/>
        <w:ind w:left="0"/>
      </w:pPr>
    </w:p>
    <w:p>
      <w:pPr>
        <w:spacing w:before="0"/>
        <w:ind w:left="360" w:right="0" w:firstLine="0"/>
        <w:jc w:val="left"/>
        <w:rPr>
          <w:b/>
          <w:sz w:val="28"/>
        </w:rPr>
      </w:pPr>
      <w:r>
        <w:rPr>
          <w:b/>
          <w:sz w:val="28"/>
        </w:rPr>
        <w:t>Current</w:t>
      </w:r>
      <w:r>
        <w:rPr>
          <w:b/>
          <w:spacing w:val="-5"/>
          <w:sz w:val="28"/>
        </w:rPr>
        <w:t> </w:t>
      </w:r>
      <w:r>
        <w:rPr>
          <w:b/>
          <w:spacing w:val="-2"/>
          <w:sz w:val="28"/>
        </w:rPr>
        <w:t>Funds</w:t>
      </w:r>
    </w:p>
    <w:p>
      <w:pPr>
        <w:pStyle w:val="BodyText"/>
        <w:ind w:left="0"/>
        <w:rPr>
          <w:b/>
          <w:sz w:val="32"/>
        </w:rPr>
      </w:pPr>
      <w:r>
        <w:rPr/>
        <w:br w:type="column"/>
      </w:r>
      <w:r>
        <w:rPr>
          <w:b/>
          <w:sz w:val="32"/>
        </w:rPr>
      </w:r>
    </w:p>
    <w:p>
      <w:pPr>
        <w:pStyle w:val="BodyText"/>
        <w:spacing w:before="200"/>
        <w:ind w:left="0"/>
        <w:rPr>
          <w:b/>
          <w:sz w:val="32"/>
        </w:rPr>
      </w:pPr>
    </w:p>
    <w:p>
      <w:pPr>
        <w:pStyle w:val="Heading1"/>
        <w:ind w:left="205"/>
      </w:pPr>
      <w:r>
        <w:rPr/>
        <w:t>Fund</w:t>
      </w:r>
      <w:r>
        <w:rPr>
          <w:spacing w:val="-9"/>
        </w:rPr>
        <w:t> </w:t>
      </w:r>
      <w:r>
        <w:rPr/>
        <w:t>Groups</w:t>
      </w:r>
      <w:r>
        <w:rPr>
          <w:spacing w:val="-11"/>
        </w:rPr>
        <w:t> </w:t>
      </w:r>
      <w:r>
        <w:rPr/>
        <w:t>and</w:t>
      </w:r>
      <w:r>
        <w:rPr>
          <w:spacing w:val="-8"/>
        </w:rPr>
        <w:t> </w:t>
      </w:r>
      <w:r>
        <w:rPr>
          <w:spacing w:val="-2"/>
        </w:rPr>
        <w:t>Definitions</w:t>
      </w:r>
    </w:p>
    <w:p>
      <w:pPr>
        <w:spacing w:before="60"/>
        <w:ind w:left="0" w:right="161" w:firstLine="0"/>
        <w:jc w:val="right"/>
        <w:rPr>
          <w:sz w:val="24"/>
        </w:rPr>
      </w:pPr>
      <w:r>
        <w:rPr/>
        <w:br w:type="column"/>
      </w:r>
      <w:r>
        <w:rPr>
          <w:sz w:val="24"/>
        </w:rPr>
        <w:t>Phone:</w:t>
      </w:r>
      <w:r>
        <w:rPr>
          <w:spacing w:val="-2"/>
          <w:sz w:val="24"/>
        </w:rPr>
        <w:t> </w:t>
      </w:r>
      <w:r>
        <w:rPr>
          <w:sz w:val="24"/>
        </w:rPr>
        <w:t>(352)</w:t>
      </w:r>
      <w:r>
        <w:rPr>
          <w:spacing w:val="-2"/>
          <w:sz w:val="24"/>
        </w:rPr>
        <w:t> </w:t>
      </w:r>
      <w:r>
        <w:rPr>
          <w:sz w:val="24"/>
        </w:rPr>
        <w:t>392-</w:t>
      </w:r>
      <w:r>
        <w:rPr>
          <w:spacing w:val="-4"/>
          <w:sz w:val="24"/>
        </w:rPr>
        <w:t>1326</w:t>
      </w:r>
    </w:p>
    <w:p>
      <w:pPr>
        <w:spacing w:before="0"/>
        <w:ind w:left="0" w:right="158" w:firstLine="0"/>
        <w:jc w:val="right"/>
        <w:rPr>
          <w:sz w:val="24"/>
        </w:rPr>
      </w:pPr>
      <w:r>
        <w:rPr>
          <w:sz w:val="24"/>
        </w:rPr>
        <w:t>Email:</w:t>
      </w:r>
      <w:r>
        <w:rPr>
          <w:spacing w:val="-2"/>
          <w:sz w:val="24"/>
        </w:rPr>
        <w:t> </w:t>
      </w:r>
      <w:hyperlink r:id="rId7">
        <w:r>
          <w:rPr>
            <w:spacing w:val="-2"/>
            <w:sz w:val="24"/>
          </w:rPr>
          <w:t>gahelp@ad.ufl.edu</w:t>
        </w:r>
      </w:hyperlink>
    </w:p>
    <w:p>
      <w:pPr>
        <w:spacing w:after="0"/>
        <w:jc w:val="right"/>
        <w:rPr>
          <w:sz w:val="24"/>
        </w:rPr>
        <w:sectPr>
          <w:footerReference w:type="default" r:id="rId5"/>
          <w:type w:val="continuous"/>
          <w:pgSz w:w="12240" w:h="15840"/>
          <w:pgMar w:header="0" w:footer="672" w:top="620" w:bottom="860" w:left="360" w:right="360"/>
          <w:pgNumType w:start="1"/>
          <w:cols w:num="3" w:equalWidth="0">
            <w:col w:w="3508" w:space="40"/>
            <w:col w:w="4253" w:space="679"/>
            <w:col w:w="3040"/>
          </w:cols>
        </w:sectPr>
      </w:pPr>
    </w:p>
    <w:p>
      <w:pPr>
        <w:pStyle w:val="BodyText"/>
        <w:ind w:left="360" w:right="352"/>
      </w:pPr>
      <w:r>
        <w:rPr/>
        <w:t>Current</w:t>
      </w:r>
      <w:r>
        <w:rPr>
          <w:spacing w:val="-2"/>
        </w:rPr>
        <w:t> </w:t>
      </w:r>
      <w:r>
        <w:rPr/>
        <w:t>Funds</w:t>
      </w:r>
      <w:r>
        <w:rPr>
          <w:spacing w:val="-4"/>
        </w:rPr>
        <w:t> </w:t>
      </w:r>
      <w:r>
        <w:rPr/>
        <w:t>include</w:t>
      </w:r>
      <w:r>
        <w:rPr>
          <w:spacing w:val="-3"/>
        </w:rPr>
        <w:t> </w:t>
      </w:r>
      <w:r>
        <w:rPr/>
        <w:t>those</w:t>
      </w:r>
      <w:r>
        <w:rPr>
          <w:spacing w:val="-3"/>
        </w:rPr>
        <w:t> </w:t>
      </w:r>
      <w:r>
        <w:rPr/>
        <w:t>economic</w:t>
      </w:r>
      <w:r>
        <w:rPr>
          <w:spacing w:val="-3"/>
        </w:rPr>
        <w:t> </w:t>
      </w:r>
      <w:r>
        <w:rPr/>
        <w:t>resources</w:t>
      </w:r>
      <w:r>
        <w:rPr>
          <w:spacing w:val="-4"/>
        </w:rPr>
        <w:t> </w:t>
      </w:r>
      <w:r>
        <w:rPr/>
        <w:t>of</w:t>
      </w:r>
      <w:r>
        <w:rPr>
          <w:spacing w:val="-5"/>
        </w:rPr>
        <w:t> </w:t>
      </w:r>
      <w:r>
        <w:rPr/>
        <w:t>the</w:t>
      </w:r>
      <w:r>
        <w:rPr>
          <w:spacing w:val="-5"/>
        </w:rPr>
        <w:t> </w:t>
      </w:r>
      <w:r>
        <w:rPr/>
        <w:t>university</w:t>
      </w:r>
      <w:r>
        <w:rPr>
          <w:spacing w:val="-4"/>
        </w:rPr>
        <w:t> </w:t>
      </w:r>
      <w:r>
        <w:rPr/>
        <w:t>which</w:t>
      </w:r>
      <w:r>
        <w:rPr>
          <w:spacing w:val="-2"/>
        </w:rPr>
        <w:t> </w:t>
      </w:r>
      <w:r>
        <w:rPr/>
        <w:t>are</w:t>
      </w:r>
      <w:r>
        <w:rPr>
          <w:spacing w:val="-3"/>
        </w:rPr>
        <w:t> </w:t>
      </w:r>
      <w:r>
        <w:rPr/>
        <w:t>expendable</w:t>
      </w:r>
      <w:r>
        <w:rPr>
          <w:spacing w:val="-3"/>
        </w:rPr>
        <w:t> </w:t>
      </w:r>
      <w:r>
        <w:rPr/>
        <w:t>for operational purposes in performing the primary objectives of the university - instruction, research and public service.</w:t>
      </w:r>
    </w:p>
    <w:p>
      <w:pPr>
        <w:pStyle w:val="Heading2"/>
        <w:numPr>
          <w:ilvl w:val="0"/>
          <w:numId w:val="1"/>
        </w:numPr>
        <w:tabs>
          <w:tab w:pos="1079" w:val="left" w:leader="none"/>
        </w:tabs>
        <w:spacing w:line="322" w:lineRule="exact" w:before="265" w:after="0"/>
        <w:ind w:left="1079" w:right="0" w:hanging="719"/>
        <w:jc w:val="left"/>
        <w:rPr>
          <w:u w:val="none"/>
        </w:rPr>
      </w:pPr>
      <w:r>
        <w:rPr>
          <w:u w:val="single"/>
        </w:rPr>
        <w:t>E&amp;G-General</w:t>
      </w:r>
      <w:r>
        <w:rPr>
          <w:spacing w:val="-9"/>
          <w:u w:val="single"/>
        </w:rPr>
        <w:t> </w:t>
      </w:r>
      <w:r>
        <w:rPr>
          <w:u w:val="single"/>
        </w:rPr>
        <w:t>Revenue-Main</w:t>
      </w:r>
      <w:r>
        <w:rPr>
          <w:spacing w:val="-9"/>
          <w:u w:val="single"/>
        </w:rPr>
        <w:t> </w:t>
      </w:r>
      <w:r>
        <w:rPr>
          <w:spacing w:val="-2"/>
          <w:u w:val="single"/>
        </w:rPr>
        <w:t>Campus</w:t>
      </w:r>
    </w:p>
    <w:p>
      <w:pPr>
        <w:pStyle w:val="BodyText"/>
        <w:ind w:right="352"/>
      </w:pPr>
      <w:r>
        <w:rPr/>
        <w:t>Monies in this fund are appropriated by the State of Florida Legislature for operating expenses</w:t>
      </w:r>
      <w:r>
        <w:rPr>
          <w:spacing w:val="-2"/>
        </w:rPr>
        <w:t> </w:t>
      </w:r>
      <w:r>
        <w:rPr/>
        <w:t>of</w:t>
      </w:r>
      <w:r>
        <w:rPr>
          <w:spacing w:val="-5"/>
        </w:rPr>
        <w:t> </w:t>
      </w:r>
      <w:r>
        <w:rPr/>
        <w:t>UF</w:t>
      </w:r>
      <w:r>
        <w:rPr>
          <w:spacing w:val="-3"/>
        </w:rPr>
        <w:t> </w:t>
      </w:r>
      <w:r>
        <w:rPr/>
        <w:t>main</w:t>
      </w:r>
      <w:r>
        <w:rPr>
          <w:spacing w:val="-4"/>
        </w:rPr>
        <w:t> </w:t>
      </w:r>
      <w:r>
        <w:rPr/>
        <w:t>campus.</w:t>
      </w:r>
      <w:r>
        <w:rPr>
          <w:spacing w:val="-3"/>
        </w:rPr>
        <w:t> </w:t>
      </w:r>
      <w:r>
        <w:rPr/>
        <w:t>Expenditures</w:t>
      </w:r>
      <w:r>
        <w:rPr>
          <w:spacing w:val="-2"/>
        </w:rPr>
        <w:t> </w:t>
      </w:r>
      <w:r>
        <w:rPr/>
        <w:t>must</w:t>
      </w:r>
      <w:r>
        <w:rPr>
          <w:spacing w:val="-2"/>
        </w:rPr>
        <w:t> </w:t>
      </w:r>
      <w:r>
        <w:rPr/>
        <w:t>adhere</w:t>
      </w:r>
      <w:r>
        <w:rPr>
          <w:spacing w:val="-5"/>
        </w:rPr>
        <w:t> </w:t>
      </w:r>
      <w:r>
        <w:rPr/>
        <w:t>to</w:t>
      </w:r>
      <w:r>
        <w:rPr>
          <w:spacing w:val="-2"/>
        </w:rPr>
        <w:t> </w:t>
      </w:r>
      <w:r>
        <w:rPr/>
        <w:t>all</w:t>
      </w:r>
      <w:r>
        <w:rPr>
          <w:spacing w:val="-2"/>
        </w:rPr>
        <w:t> </w:t>
      </w:r>
      <w:r>
        <w:rPr/>
        <w:t>restrictions</w:t>
      </w:r>
      <w:r>
        <w:rPr>
          <w:spacing w:val="-4"/>
        </w:rPr>
        <w:t> </w:t>
      </w:r>
      <w:r>
        <w:rPr/>
        <w:t>set</w:t>
      </w:r>
      <w:r>
        <w:rPr>
          <w:spacing w:val="-2"/>
        </w:rPr>
        <w:t> </w:t>
      </w:r>
      <w:r>
        <w:rPr/>
        <w:t>by</w:t>
      </w:r>
      <w:r>
        <w:rPr>
          <w:spacing w:val="-2"/>
        </w:rPr>
        <w:t> </w:t>
      </w:r>
      <w:r>
        <w:rPr/>
        <w:t>the</w:t>
      </w:r>
      <w:r>
        <w:rPr>
          <w:spacing w:val="-5"/>
        </w:rPr>
        <w:t> </w:t>
      </w:r>
      <w:r>
        <w:rPr/>
        <w:t>State of Florida.</w:t>
      </w:r>
    </w:p>
    <w:p>
      <w:pPr>
        <w:pStyle w:val="BodyText"/>
        <w:ind w:left="0"/>
      </w:pPr>
    </w:p>
    <w:p>
      <w:pPr>
        <w:pStyle w:val="Heading2"/>
        <w:numPr>
          <w:ilvl w:val="0"/>
          <w:numId w:val="1"/>
        </w:numPr>
        <w:tabs>
          <w:tab w:pos="1079" w:val="left" w:leader="none"/>
        </w:tabs>
        <w:spacing w:line="240" w:lineRule="auto" w:before="0" w:after="0"/>
        <w:ind w:left="1079" w:right="0" w:hanging="720"/>
        <w:jc w:val="left"/>
        <w:rPr>
          <w:u w:val="none"/>
        </w:rPr>
      </w:pPr>
      <w:r>
        <w:rPr>
          <w:u w:val="single"/>
        </w:rPr>
        <w:t>E&amp;G-General</w:t>
      </w:r>
      <w:r>
        <w:rPr>
          <w:spacing w:val="-9"/>
          <w:u w:val="single"/>
        </w:rPr>
        <w:t> </w:t>
      </w:r>
      <w:r>
        <w:rPr>
          <w:u w:val="single"/>
        </w:rPr>
        <w:t>Revenues-HSC</w:t>
      </w:r>
      <w:r>
        <w:rPr>
          <w:spacing w:val="-10"/>
          <w:u w:val="single"/>
        </w:rPr>
        <w:t> </w:t>
      </w:r>
      <w:r>
        <w:rPr>
          <w:spacing w:val="-4"/>
          <w:u w:val="single"/>
        </w:rPr>
        <w:t>Fund</w:t>
      </w:r>
    </w:p>
    <w:p>
      <w:pPr>
        <w:pStyle w:val="BodyText"/>
        <w:ind w:right="446"/>
      </w:pPr>
      <w:r>
        <w:rPr/>
        <w:t>Monies</w:t>
      </w:r>
      <w:r>
        <w:rPr>
          <w:spacing w:val="-3"/>
        </w:rPr>
        <w:t> </w:t>
      </w:r>
      <w:r>
        <w:rPr/>
        <w:t>in</w:t>
      </w:r>
      <w:r>
        <w:rPr>
          <w:spacing w:val="-3"/>
        </w:rPr>
        <w:t> </w:t>
      </w:r>
      <w:r>
        <w:rPr/>
        <w:t>this</w:t>
      </w:r>
      <w:r>
        <w:rPr>
          <w:spacing w:val="-3"/>
        </w:rPr>
        <w:t> </w:t>
      </w:r>
      <w:r>
        <w:rPr/>
        <w:t>fund</w:t>
      </w:r>
      <w:r>
        <w:rPr>
          <w:spacing w:val="-3"/>
        </w:rPr>
        <w:t> </w:t>
      </w:r>
      <w:r>
        <w:rPr/>
        <w:t>are</w:t>
      </w:r>
      <w:r>
        <w:rPr>
          <w:spacing w:val="-4"/>
        </w:rPr>
        <w:t> </w:t>
      </w:r>
      <w:r>
        <w:rPr/>
        <w:t>appropriated</w:t>
      </w:r>
      <w:r>
        <w:rPr>
          <w:spacing w:val="-3"/>
        </w:rPr>
        <w:t> </w:t>
      </w:r>
      <w:r>
        <w:rPr/>
        <w:t>by</w:t>
      </w:r>
      <w:r>
        <w:rPr>
          <w:spacing w:val="-3"/>
        </w:rPr>
        <w:t> </w:t>
      </w:r>
      <w:r>
        <w:rPr/>
        <w:t>the</w:t>
      </w:r>
      <w:r>
        <w:rPr>
          <w:spacing w:val="-4"/>
        </w:rPr>
        <w:t> </w:t>
      </w:r>
      <w:r>
        <w:rPr/>
        <w:t>State</w:t>
      </w:r>
      <w:r>
        <w:rPr>
          <w:spacing w:val="-4"/>
        </w:rPr>
        <w:t> </w:t>
      </w:r>
      <w:r>
        <w:rPr/>
        <w:t>of</w:t>
      </w:r>
      <w:r>
        <w:rPr>
          <w:spacing w:val="-4"/>
        </w:rPr>
        <w:t> </w:t>
      </w:r>
      <w:r>
        <w:rPr/>
        <w:t>Florida</w:t>
      </w:r>
      <w:r>
        <w:rPr>
          <w:spacing w:val="-6"/>
        </w:rPr>
        <w:t> </w:t>
      </w:r>
      <w:r>
        <w:rPr/>
        <w:t>Legislature</w:t>
      </w:r>
      <w:r>
        <w:rPr>
          <w:spacing w:val="-4"/>
        </w:rPr>
        <w:t> </w:t>
      </w:r>
      <w:r>
        <w:rPr/>
        <w:t>for</w:t>
      </w:r>
      <w:r>
        <w:rPr>
          <w:spacing w:val="-6"/>
        </w:rPr>
        <w:t> </w:t>
      </w:r>
      <w:r>
        <w:rPr/>
        <w:t>operating expenses of the Health Science Center (HSC). Expenditures must adhere to all restrictions set by the State of Florida.</w:t>
      </w:r>
    </w:p>
    <w:p>
      <w:pPr>
        <w:pStyle w:val="Heading2"/>
        <w:numPr>
          <w:ilvl w:val="0"/>
          <w:numId w:val="1"/>
        </w:numPr>
        <w:tabs>
          <w:tab w:pos="1079" w:val="left" w:leader="none"/>
        </w:tabs>
        <w:spacing w:line="240" w:lineRule="auto" w:before="320" w:after="0"/>
        <w:ind w:left="1079" w:right="0" w:hanging="719"/>
        <w:jc w:val="left"/>
        <w:rPr>
          <w:u w:val="none"/>
        </w:rPr>
      </w:pPr>
      <w:r>
        <w:rPr>
          <w:u w:val="single"/>
        </w:rPr>
        <w:t>E&amp;G-General</w:t>
      </w:r>
      <w:r>
        <w:rPr>
          <w:spacing w:val="-9"/>
          <w:u w:val="single"/>
        </w:rPr>
        <w:t> </w:t>
      </w:r>
      <w:r>
        <w:rPr>
          <w:u w:val="single"/>
        </w:rPr>
        <w:t>Revenue-IFAS</w:t>
      </w:r>
      <w:r>
        <w:rPr>
          <w:spacing w:val="-9"/>
          <w:u w:val="single"/>
        </w:rPr>
        <w:t> </w:t>
      </w:r>
      <w:r>
        <w:rPr>
          <w:spacing w:val="-4"/>
          <w:u w:val="single"/>
        </w:rPr>
        <w:t>Fund</w:t>
      </w:r>
    </w:p>
    <w:p>
      <w:pPr>
        <w:pStyle w:val="BodyText"/>
        <w:spacing w:before="3"/>
        <w:ind w:left="1079" w:right="352"/>
      </w:pPr>
      <w:r>
        <w:rPr/>
        <w:t>Monies in this fund are appropriated by the State of Florida Legislature for operating expenses</w:t>
      </w:r>
      <w:r>
        <w:rPr>
          <w:spacing w:val="-3"/>
        </w:rPr>
        <w:t> </w:t>
      </w:r>
      <w:r>
        <w:rPr/>
        <w:t>of</w:t>
      </w:r>
      <w:r>
        <w:rPr>
          <w:spacing w:val="-6"/>
        </w:rPr>
        <w:t> </w:t>
      </w:r>
      <w:r>
        <w:rPr/>
        <w:t>the</w:t>
      </w:r>
      <w:r>
        <w:rPr>
          <w:spacing w:val="-4"/>
        </w:rPr>
        <w:t> </w:t>
      </w:r>
      <w:r>
        <w:rPr/>
        <w:t>Institute</w:t>
      </w:r>
      <w:r>
        <w:rPr>
          <w:spacing w:val="-6"/>
        </w:rPr>
        <w:t> </w:t>
      </w:r>
      <w:r>
        <w:rPr/>
        <w:t>of</w:t>
      </w:r>
      <w:r>
        <w:rPr>
          <w:spacing w:val="-4"/>
        </w:rPr>
        <w:t> </w:t>
      </w:r>
      <w:r>
        <w:rPr/>
        <w:t>Food</w:t>
      </w:r>
      <w:r>
        <w:rPr>
          <w:spacing w:val="-3"/>
        </w:rPr>
        <w:t> </w:t>
      </w:r>
      <w:r>
        <w:rPr/>
        <w:t>and</w:t>
      </w:r>
      <w:r>
        <w:rPr>
          <w:spacing w:val="-5"/>
        </w:rPr>
        <w:t> </w:t>
      </w:r>
      <w:r>
        <w:rPr/>
        <w:t>Agricultural</w:t>
      </w:r>
      <w:r>
        <w:rPr>
          <w:spacing w:val="-3"/>
        </w:rPr>
        <w:t> </w:t>
      </w:r>
      <w:r>
        <w:rPr/>
        <w:t>Sciences</w:t>
      </w:r>
      <w:r>
        <w:rPr>
          <w:spacing w:val="-3"/>
        </w:rPr>
        <w:t> </w:t>
      </w:r>
      <w:r>
        <w:rPr/>
        <w:t>(IFAS).</w:t>
      </w:r>
      <w:r>
        <w:rPr>
          <w:spacing w:val="-4"/>
        </w:rPr>
        <w:t> </w:t>
      </w:r>
      <w:r>
        <w:rPr/>
        <w:t>Expenditures</w:t>
      </w:r>
      <w:r>
        <w:rPr>
          <w:spacing w:val="-3"/>
        </w:rPr>
        <w:t> </w:t>
      </w:r>
      <w:r>
        <w:rPr/>
        <w:t>must adhere to all restrictions set by the State of Florida.</w:t>
      </w:r>
    </w:p>
    <w:p>
      <w:pPr>
        <w:pStyle w:val="Heading2"/>
        <w:numPr>
          <w:ilvl w:val="0"/>
          <w:numId w:val="2"/>
        </w:numPr>
        <w:tabs>
          <w:tab w:pos="1079" w:val="left" w:leader="none"/>
        </w:tabs>
        <w:spacing w:line="240" w:lineRule="auto" w:before="320" w:after="0"/>
        <w:ind w:left="1079" w:right="0" w:hanging="719"/>
        <w:jc w:val="left"/>
        <w:rPr>
          <w:u w:val="none"/>
        </w:rPr>
      </w:pPr>
      <w:r>
        <w:rPr>
          <w:u w:val="single"/>
        </w:rPr>
        <w:t>E&amp;G-General</w:t>
      </w:r>
      <w:r>
        <w:rPr>
          <w:spacing w:val="-11"/>
          <w:u w:val="single"/>
        </w:rPr>
        <w:t> </w:t>
      </w:r>
      <w:r>
        <w:rPr>
          <w:u w:val="single"/>
        </w:rPr>
        <w:t>Revenue-Strategic</w:t>
      </w:r>
      <w:r>
        <w:rPr>
          <w:spacing w:val="-11"/>
          <w:u w:val="single"/>
        </w:rPr>
        <w:t> </w:t>
      </w:r>
      <w:r>
        <w:rPr>
          <w:spacing w:val="-4"/>
          <w:u w:val="single"/>
        </w:rPr>
        <w:t>Fund</w:t>
      </w:r>
    </w:p>
    <w:p>
      <w:pPr>
        <w:pStyle w:val="BodyText"/>
        <w:ind w:right="352"/>
      </w:pPr>
      <w:r>
        <w:rPr/>
        <w:t>This fund is used to budget and track expenditures from State funds allocated by the President</w:t>
      </w:r>
      <w:r>
        <w:rPr>
          <w:spacing w:val="-3"/>
        </w:rPr>
        <w:t> </w:t>
      </w:r>
      <w:r>
        <w:rPr/>
        <w:t>and</w:t>
      </w:r>
      <w:r>
        <w:rPr>
          <w:spacing w:val="-3"/>
        </w:rPr>
        <w:t> </w:t>
      </w:r>
      <w:r>
        <w:rPr/>
        <w:t>Sr.</w:t>
      </w:r>
      <w:r>
        <w:rPr>
          <w:spacing w:val="-6"/>
        </w:rPr>
        <w:t> </w:t>
      </w:r>
      <w:r>
        <w:rPr/>
        <w:t>VP's</w:t>
      </w:r>
      <w:r>
        <w:rPr>
          <w:spacing w:val="-3"/>
        </w:rPr>
        <w:t> </w:t>
      </w:r>
      <w:r>
        <w:rPr/>
        <w:t>for</w:t>
      </w:r>
      <w:r>
        <w:rPr>
          <w:spacing w:val="-6"/>
        </w:rPr>
        <w:t> </w:t>
      </w:r>
      <w:r>
        <w:rPr/>
        <w:t>strategic</w:t>
      </w:r>
      <w:r>
        <w:rPr>
          <w:spacing w:val="-4"/>
        </w:rPr>
        <w:t> </w:t>
      </w:r>
      <w:r>
        <w:rPr/>
        <w:t>programs.</w:t>
      </w:r>
      <w:r>
        <w:rPr>
          <w:spacing w:val="-4"/>
        </w:rPr>
        <w:t> </w:t>
      </w:r>
      <w:r>
        <w:rPr/>
        <w:t>Expenditures</w:t>
      </w:r>
      <w:r>
        <w:rPr>
          <w:spacing w:val="-3"/>
        </w:rPr>
        <w:t> </w:t>
      </w:r>
      <w:r>
        <w:rPr/>
        <w:t>must</w:t>
      </w:r>
      <w:r>
        <w:rPr>
          <w:spacing w:val="-3"/>
        </w:rPr>
        <w:t> </w:t>
      </w:r>
      <w:r>
        <w:rPr/>
        <w:t>adhere</w:t>
      </w:r>
      <w:r>
        <w:rPr>
          <w:spacing w:val="-6"/>
        </w:rPr>
        <w:t> </w:t>
      </w:r>
      <w:r>
        <w:rPr/>
        <w:t>to</w:t>
      </w:r>
      <w:r>
        <w:rPr>
          <w:spacing w:val="-3"/>
        </w:rPr>
        <w:t> </w:t>
      </w:r>
      <w:r>
        <w:rPr/>
        <w:t>all</w:t>
      </w:r>
      <w:r>
        <w:rPr>
          <w:spacing w:val="-3"/>
        </w:rPr>
        <w:t> </w:t>
      </w:r>
      <w:r>
        <w:rPr/>
        <w:t>restrictions set by the State of Florida.</w:t>
      </w:r>
    </w:p>
    <w:p>
      <w:pPr>
        <w:pStyle w:val="BodyText"/>
        <w:ind w:left="0"/>
      </w:pPr>
    </w:p>
    <w:p>
      <w:pPr>
        <w:pStyle w:val="Heading2"/>
        <w:numPr>
          <w:ilvl w:val="0"/>
          <w:numId w:val="2"/>
        </w:numPr>
        <w:tabs>
          <w:tab w:pos="1079" w:val="left" w:leader="none"/>
        </w:tabs>
        <w:spacing w:line="240" w:lineRule="auto" w:before="0" w:after="0"/>
        <w:ind w:left="1079" w:right="0" w:hanging="719"/>
        <w:jc w:val="left"/>
        <w:rPr>
          <w:u w:val="none"/>
        </w:rPr>
      </w:pPr>
      <w:r>
        <w:rPr>
          <w:u w:val="single"/>
        </w:rPr>
        <w:t>E&amp;G-General</w:t>
      </w:r>
      <w:r>
        <w:rPr>
          <w:spacing w:val="-8"/>
          <w:u w:val="single"/>
        </w:rPr>
        <w:t> </w:t>
      </w:r>
      <w:r>
        <w:rPr>
          <w:u w:val="single"/>
        </w:rPr>
        <w:t>Revenue-UF</w:t>
      </w:r>
      <w:r>
        <w:rPr>
          <w:spacing w:val="-8"/>
          <w:u w:val="single"/>
        </w:rPr>
        <w:t> </w:t>
      </w:r>
      <w:r>
        <w:rPr>
          <w:spacing w:val="-2"/>
          <w:u w:val="single"/>
        </w:rPr>
        <w:t>Online</w:t>
      </w:r>
    </w:p>
    <w:p>
      <w:pPr>
        <w:pStyle w:val="BodyText"/>
        <w:ind w:left="107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State</w:t>
      </w:r>
      <w:r>
        <w:rPr>
          <w:spacing w:val="-3"/>
        </w:rPr>
        <w:t> </w:t>
      </w:r>
      <w:r>
        <w:rPr/>
        <w:t>of</w:t>
      </w:r>
      <w:r>
        <w:rPr>
          <w:spacing w:val="-3"/>
        </w:rPr>
        <w:t> </w:t>
      </w:r>
      <w:r>
        <w:rPr/>
        <w:t>Florida</w:t>
      </w:r>
      <w:r>
        <w:rPr>
          <w:spacing w:val="-5"/>
        </w:rPr>
        <w:t> </w:t>
      </w:r>
      <w:r>
        <w:rPr/>
        <w:t>Legislature.</w:t>
      </w:r>
      <w:r>
        <w:rPr>
          <w:spacing w:val="-3"/>
        </w:rPr>
        <w:t> </w:t>
      </w:r>
      <w:r>
        <w:rPr/>
        <w:t>This</w:t>
      </w:r>
      <w:r>
        <w:rPr>
          <w:spacing w:val="-2"/>
        </w:rPr>
        <w:t> </w:t>
      </w:r>
      <w:r>
        <w:rPr/>
        <w:t>fund</w:t>
      </w:r>
      <w:r>
        <w:rPr>
          <w:spacing w:val="-2"/>
        </w:rPr>
        <w:t> </w:t>
      </w:r>
      <w:r>
        <w:rPr/>
        <w:t>is</w:t>
      </w:r>
      <w:r>
        <w:rPr>
          <w:spacing w:val="-4"/>
        </w:rPr>
        <w:t> </w:t>
      </w:r>
      <w:r>
        <w:rPr/>
        <w:t>used to budget and track expenditures from State funds allocated to UF Online. Expenditures must adhere to all restrictions set by the State of Florida.</w:t>
      </w:r>
    </w:p>
    <w:p>
      <w:pPr>
        <w:pStyle w:val="BodyText"/>
        <w:spacing w:before="1"/>
        <w:ind w:left="0"/>
      </w:pPr>
    </w:p>
    <w:p>
      <w:pPr>
        <w:pStyle w:val="Heading2"/>
        <w:numPr>
          <w:ilvl w:val="0"/>
          <w:numId w:val="2"/>
        </w:numPr>
        <w:tabs>
          <w:tab w:pos="1079" w:val="left" w:leader="none"/>
        </w:tabs>
        <w:spacing w:line="240" w:lineRule="auto" w:before="0" w:after="0"/>
        <w:ind w:left="1079" w:right="0" w:hanging="720"/>
        <w:jc w:val="left"/>
        <w:rPr>
          <w:u w:val="none"/>
        </w:rPr>
      </w:pPr>
      <w:r>
        <w:rPr>
          <w:u w:val="single"/>
        </w:rPr>
        <w:t>E&amp;G-</w:t>
      </w:r>
      <w:r>
        <w:rPr>
          <w:spacing w:val="-5"/>
          <w:u w:val="single"/>
        </w:rPr>
        <w:t> </w:t>
      </w:r>
      <w:r>
        <w:rPr>
          <w:u w:val="single"/>
        </w:rPr>
        <w:t>General</w:t>
      </w:r>
      <w:r>
        <w:rPr>
          <w:spacing w:val="-6"/>
          <w:u w:val="single"/>
        </w:rPr>
        <w:t> </w:t>
      </w:r>
      <w:r>
        <w:rPr>
          <w:u w:val="single"/>
        </w:rPr>
        <w:t>Revenue</w:t>
      </w:r>
      <w:r>
        <w:rPr>
          <w:spacing w:val="-3"/>
          <w:u w:val="single"/>
        </w:rPr>
        <w:t> </w:t>
      </w:r>
      <w:r>
        <w:rPr>
          <w:u w:val="single"/>
        </w:rPr>
        <w:t>-</w:t>
      </w:r>
      <w:r>
        <w:rPr>
          <w:spacing w:val="-2"/>
          <w:u w:val="single"/>
        </w:rPr>
        <w:t>Preeminence</w:t>
      </w:r>
    </w:p>
    <w:p>
      <w:pPr>
        <w:pStyle w:val="BodyText"/>
        <w:ind w:left="1079" w:right="376"/>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State</w:t>
      </w:r>
      <w:r>
        <w:rPr>
          <w:spacing w:val="-3"/>
        </w:rPr>
        <w:t> </w:t>
      </w:r>
      <w:r>
        <w:rPr/>
        <w:t>of</w:t>
      </w:r>
      <w:r>
        <w:rPr>
          <w:spacing w:val="-3"/>
        </w:rPr>
        <w:t> </w:t>
      </w:r>
      <w:r>
        <w:rPr/>
        <w:t>Florida</w:t>
      </w:r>
      <w:r>
        <w:rPr>
          <w:spacing w:val="-5"/>
        </w:rPr>
        <w:t> </w:t>
      </w:r>
      <w:r>
        <w:rPr/>
        <w:t>Legislature.</w:t>
      </w:r>
      <w:r>
        <w:rPr>
          <w:spacing w:val="-3"/>
        </w:rPr>
        <w:t> </w:t>
      </w:r>
      <w:r>
        <w:rPr/>
        <w:t>This</w:t>
      </w:r>
      <w:r>
        <w:rPr>
          <w:spacing w:val="-2"/>
        </w:rPr>
        <w:t> </w:t>
      </w:r>
      <w:r>
        <w:rPr/>
        <w:t>fund</w:t>
      </w:r>
      <w:r>
        <w:rPr>
          <w:spacing w:val="-2"/>
        </w:rPr>
        <w:t> </w:t>
      </w:r>
      <w:r>
        <w:rPr/>
        <w:t>is</w:t>
      </w:r>
      <w:r>
        <w:rPr>
          <w:spacing w:val="-4"/>
        </w:rPr>
        <w:t> </w:t>
      </w:r>
      <w:r>
        <w:rPr/>
        <w:t>used to budget and track expenditures from State Preeminence funds. Expenditures must adhere to all restrictions set by the State of Florida.</w:t>
      </w:r>
    </w:p>
    <w:p>
      <w:pPr>
        <w:pStyle w:val="BodyText"/>
        <w:ind w:left="0"/>
      </w:pPr>
    </w:p>
    <w:p>
      <w:pPr>
        <w:pStyle w:val="Heading2"/>
        <w:numPr>
          <w:ilvl w:val="0"/>
          <w:numId w:val="2"/>
        </w:numPr>
        <w:tabs>
          <w:tab w:pos="1079" w:val="left" w:leader="none"/>
        </w:tabs>
        <w:spacing w:line="240" w:lineRule="auto" w:before="0" w:after="0"/>
        <w:ind w:left="1079" w:right="0" w:hanging="720"/>
        <w:jc w:val="left"/>
        <w:rPr>
          <w:u w:val="none"/>
        </w:rPr>
      </w:pPr>
      <w:r>
        <w:rPr>
          <w:u w:val="single"/>
        </w:rPr>
        <w:t>E&amp;G-</w:t>
      </w:r>
      <w:r>
        <w:rPr>
          <w:spacing w:val="-4"/>
          <w:u w:val="single"/>
        </w:rPr>
        <w:t> </w:t>
      </w:r>
      <w:r>
        <w:rPr>
          <w:u w:val="single"/>
        </w:rPr>
        <w:t>General</w:t>
      </w:r>
      <w:r>
        <w:rPr>
          <w:spacing w:val="-4"/>
          <w:u w:val="single"/>
        </w:rPr>
        <w:t> </w:t>
      </w:r>
      <w:r>
        <w:rPr>
          <w:u w:val="single"/>
        </w:rPr>
        <w:t>Revenue</w:t>
      </w:r>
      <w:r>
        <w:rPr>
          <w:spacing w:val="-4"/>
          <w:u w:val="single"/>
        </w:rPr>
        <w:t> </w:t>
      </w:r>
      <w:r>
        <w:rPr>
          <w:u w:val="single"/>
        </w:rPr>
        <w:t>-</w:t>
      </w:r>
      <w:r>
        <w:rPr>
          <w:spacing w:val="-3"/>
          <w:u w:val="single"/>
        </w:rPr>
        <w:t> </w:t>
      </w:r>
      <w:r>
        <w:rPr>
          <w:u w:val="single"/>
        </w:rPr>
        <w:t>World</w:t>
      </w:r>
      <w:r>
        <w:rPr>
          <w:spacing w:val="-6"/>
          <w:u w:val="single"/>
        </w:rPr>
        <w:t> </w:t>
      </w:r>
      <w:r>
        <w:rPr>
          <w:u w:val="single"/>
        </w:rPr>
        <w:t>Class</w:t>
      </w:r>
      <w:r>
        <w:rPr>
          <w:spacing w:val="-4"/>
          <w:u w:val="single"/>
        </w:rPr>
        <w:t> </w:t>
      </w:r>
      <w:r>
        <w:rPr>
          <w:u w:val="single"/>
        </w:rPr>
        <w:t>Faculty</w:t>
      </w:r>
      <w:r>
        <w:rPr>
          <w:spacing w:val="-5"/>
          <w:u w:val="single"/>
        </w:rPr>
        <w:t> </w:t>
      </w:r>
      <w:r>
        <w:rPr>
          <w:u w:val="single"/>
        </w:rPr>
        <w:t>&amp;</w:t>
      </w:r>
      <w:r>
        <w:rPr>
          <w:spacing w:val="-2"/>
          <w:u w:val="single"/>
        </w:rPr>
        <w:t> </w:t>
      </w:r>
      <w:r>
        <w:rPr>
          <w:u w:val="single"/>
        </w:rPr>
        <w:t>Scholar</w:t>
      </w:r>
      <w:r>
        <w:rPr>
          <w:spacing w:val="-5"/>
          <w:u w:val="single"/>
        </w:rPr>
        <w:t> </w:t>
      </w:r>
      <w:r>
        <w:rPr>
          <w:spacing w:val="-2"/>
          <w:u w:val="single"/>
        </w:rPr>
        <w:t>Program</w:t>
      </w:r>
    </w:p>
    <w:p>
      <w:pPr>
        <w:pStyle w:val="BodyText"/>
        <w:ind w:left="107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State</w:t>
      </w:r>
      <w:r>
        <w:rPr>
          <w:spacing w:val="-3"/>
        </w:rPr>
        <w:t> </w:t>
      </w:r>
      <w:r>
        <w:rPr/>
        <w:t>of</w:t>
      </w:r>
      <w:r>
        <w:rPr>
          <w:spacing w:val="-3"/>
        </w:rPr>
        <w:t> </w:t>
      </w:r>
      <w:r>
        <w:rPr/>
        <w:t>Florida</w:t>
      </w:r>
      <w:r>
        <w:rPr>
          <w:spacing w:val="-5"/>
        </w:rPr>
        <w:t> </w:t>
      </w:r>
      <w:r>
        <w:rPr/>
        <w:t>Legislature.</w:t>
      </w:r>
      <w:r>
        <w:rPr>
          <w:spacing w:val="-3"/>
        </w:rPr>
        <w:t> </w:t>
      </w:r>
      <w:r>
        <w:rPr/>
        <w:t>This</w:t>
      </w:r>
      <w:r>
        <w:rPr>
          <w:spacing w:val="-2"/>
        </w:rPr>
        <w:t> </w:t>
      </w:r>
      <w:r>
        <w:rPr/>
        <w:t>fund</w:t>
      </w:r>
      <w:r>
        <w:rPr>
          <w:spacing w:val="-2"/>
        </w:rPr>
        <w:t> </w:t>
      </w:r>
      <w:r>
        <w:rPr/>
        <w:t>is</w:t>
      </w:r>
      <w:r>
        <w:rPr>
          <w:spacing w:val="-4"/>
        </w:rPr>
        <w:t> </w:t>
      </w:r>
      <w:r>
        <w:rPr/>
        <w:t>used to budget and track expenditures from the World Class Faculty &amp; Scholar Program.</w:t>
      </w:r>
    </w:p>
    <w:p>
      <w:pPr>
        <w:pStyle w:val="BodyText"/>
        <w:spacing w:line="321" w:lineRule="exact"/>
        <w:ind w:left="1079"/>
      </w:pPr>
      <w:r>
        <w:rPr/>
        <w:t>Expenditures</w:t>
      </w:r>
      <w:r>
        <w:rPr>
          <w:spacing w:val="-5"/>
        </w:rPr>
        <w:t> </w:t>
      </w:r>
      <w:r>
        <w:rPr/>
        <w:t>must</w:t>
      </w:r>
      <w:r>
        <w:rPr>
          <w:spacing w:val="-2"/>
        </w:rPr>
        <w:t> </w:t>
      </w:r>
      <w:r>
        <w:rPr/>
        <w:t>adhere</w:t>
      </w:r>
      <w:r>
        <w:rPr>
          <w:spacing w:val="-6"/>
        </w:rPr>
        <w:t> </w:t>
      </w:r>
      <w:r>
        <w:rPr/>
        <w:t>to</w:t>
      </w:r>
      <w:r>
        <w:rPr>
          <w:spacing w:val="-2"/>
        </w:rPr>
        <w:t> </w:t>
      </w:r>
      <w:r>
        <w:rPr/>
        <w:t>all</w:t>
      </w:r>
      <w:r>
        <w:rPr>
          <w:spacing w:val="-3"/>
        </w:rPr>
        <w:t> </w:t>
      </w:r>
      <w:r>
        <w:rPr/>
        <w:t>restrictions</w:t>
      </w:r>
      <w:r>
        <w:rPr>
          <w:spacing w:val="-4"/>
        </w:rPr>
        <w:t> </w:t>
      </w:r>
      <w:r>
        <w:rPr/>
        <w:t>set</w:t>
      </w:r>
      <w:r>
        <w:rPr>
          <w:spacing w:val="-5"/>
        </w:rPr>
        <w:t> </w:t>
      </w:r>
      <w:r>
        <w:rPr/>
        <w:t>by</w:t>
      </w:r>
      <w:r>
        <w:rPr>
          <w:spacing w:val="-4"/>
        </w:rPr>
        <w:t> </w:t>
      </w:r>
      <w:r>
        <w:rPr/>
        <w:t>the</w:t>
      </w:r>
      <w:r>
        <w:rPr>
          <w:spacing w:val="-4"/>
        </w:rPr>
        <w:t> </w:t>
      </w:r>
      <w:r>
        <w:rPr/>
        <w:t>State</w:t>
      </w:r>
      <w:r>
        <w:rPr>
          <w:spacing w:val="-5"/>
        </w:rPr>
        <w:t> </w:t>
      </w:r>
      <w:r>
        <w:rPr/>
        <w:t>of</w:t>
      </w:r>
      <w:r>
        <w:rPr>
          <w:spacing w:val="-3"/>
        </w:rPr>
        <w:t> </w:t>
      </w:r>
      <w:r>
        <w:rPr>
          <w:spacing w:val="-2"/>
        </w:rPr>
        <w:t>Florida.</w:t>
      </w:r>
    </w:p>
    <w:p>
      <w:pPr>
        <w:pStyle w:val="BodyText"/>
        <w:spacing w:after="0" w:line="321" w:lineRule="exact"/>
        <w:sectPr>
          <w:type w:val="continuous"/>
          <w:pgSz w:w="12240" w:h="15840"/>
          <w:pgMar w:header="0" w:footer="672" w:top="620" w:bottom="860" w:left="360" w:right="360"/>
        </w:sectPr>
      </w:pPr>
    </w:p>
    <w:p>
      <w:pPr>
        <w:pStyle w:val="ListParagraph"/>
        <w:numPr>
          <w:ilvl w:val="0"/>
          <w:numId w:val="2"/>
        </w:numPr>
        <w:tabs>
          <w:tab w:pos="1079" w:val="left" w:leader="none"/>
        </w:tabs>
        <w:spacing w:line="240" w:lineRule="auto" w:before="61" w:after="0"/>
        <w:ind w:left="1079" w:right="758" w:hanging="720"/>
        <w:jc w:val="left"/>
        <w:rPr>
          <w:sz w:val="28"/>
          <w:u w:val="none"/>
        </w:rPr>
      </w:pPr>
      <w:r>
        <w:rPr>
          <w:b/>
          <w:sz w:val="28"/>
          <w:u w:val="single"/>
        </w:rPr>
        <w:t>E&amp;G- General Revenue –Professional &amp; Graduate Degree Excellence Program</w:t>
      </w:r>
      <w:r>
        <w:rPr>
          <w:b/>
          <w:sz w:val="28"/>
          <w:u w:val="none"/>
        </w:rPr>
        <w:t> </w:t>
      </w:r>
      <w:r>
        <w:rPr>
          <w:sz w:val="28"/>
          <w:u w:val="none"/>
        </w:rPr>
        <w:t>Monies in this fund are appropriated by the State of Florida Legislature for the Professional &amp;</w:t>
      </w:r>
      <w:r>
        <w:rPr>
          <w:spacing w:val="-1"/>
          <w:sz w:val="28"/>
          <w:u w:val="none"/>
        </w:rPr>
        <w:t> </w:t>
      </w:r>
      <w:r>
        <w:rPr>
          <w:sz w:val="28"/>
          <w:u w:val="none"/>
        </w:rPr>
        <w:t>Graduate</w:t>
      </w:r>
      <w:r>
        <w:rPr>
          <w:spacing w:val="-1"/>
          <w:sz w:val="28"/>
          <w:u w:val="none"/>
        </w:rPr>
        <w:t> </w:t>
      </w:r>
      <w:r>
        <w:rPr>
          <w:sz w:val="28"/>
          <w:u w:val="none"/>
        </w:rPr>
        <w:t>Degree</w:t>
      </w:r>
      <w:r>
        <w:rPr>
          <w:spacing w:val="-1"/>
          <w:sz w:val="28"/>
          <w:u w:val="none"/>
        </w:rPr>
        <w:t> </w:t>
      </w:r>
      <w:r>
        <w:rPr>
          <w:sz w:val="28"/>
          <w:u w:val="none"/>
        </w:rPr>
        <w:t>Excellence Program.</w:t>
      </w:r>
      <w:r>
        <w:rPr>
          <w:spacing w:val="-2"/>
          <w:sz w:val="28"/>
          <w:u w:val="none"/>
        </w:rPr>
        <w:t> </w:t>
      </w:r>
      <w:r>
        <w:rPr>
          <w:sz w:val="28"/>
          <w:u w:val="none"/>
        </w:rPr>
        <w:t>This fund is used to budget and track</w:t>
      </w:r>
      <w:r>
        <w:rPr>
          <w:spacing w:val="-3"/>
          <w:sz w:val="28"/>
          <w:u w:val="none"/>
        </w:rPr>
        <w:t> </w:t>
      </w:r>
      <w:r>
        <w:rPr>
          <w:sz w:val="28"/>
          <w:u w:val="none"/>
        </w:rPr>
        <w:t>expenditures</w:t>
      </w:r>
      <w:r>
        <w:rPr>
          <w:spacing w:val="-3"/>
          <w:sz w:val="28"/>
          <w:u w:val="none"/>
        </w:rPr>
        <w:t> </w:t>
      </w:r>
      <w:r>
        <w:rPr>
          <w:sz w:val="28"/>
          <w:u w:val="none"/>
        </w:rPr>
        <w:t>for</w:t>
      </w:r>
      <w:r>
        <w:rPr>
          <w:spacing w:val="-4"/>
          <w:sz w:val="28"/>
          <w:u w:val="none"/>
        </w:rPr>
        <w:t> </w:t>
      </w:r>
      <w:r>
        <w:rPr>
          <w:sz w:val="28"/>
          <w:u w:val="none"/>
        </w:rPr>
        <w:t>this</w:t>
      </w:r>
      <w:r>
        <w:rPr>
          <w:spacing w:val="-5"/>
          <w:sz w:val="28"/>
          <w:u w:val="none"/>
        </w:rPr>
        <w:t> </w:t>
      </w:r>
      <w:r>
        <w:rPr>
          <w:sz w:val="28"/>
          <w:u w:val="none"/>
        </w:rPr>
        <w:t>program.</w:t>
      </w:r>
      <w:r>
        <w:rPr>
          <w:spacing w:val="-4"/>
          <w:sz w:val="28"/>
          <w:u w:val="none"/>
        </w:rPr>
        <w:t> </w:t>
      </w:r>
      <w:r>
        <w:rPr>
          <w:sz w:val="28"/>
          <w:u w:val="none"/>
        </w:rPr>
        <w:t>Expenditures</w:t>
      </w:r>
      <w:r>
        <w:rPr>
          <w:spacing w:val="-5"/>
          <w:sz w:val="28"/>
          <w:u w:val="none"/>
        </w:rPr>
        <w:t> </w:t>
      </w:r>
      <w:r>
        <w:rPr>
          <w:sz w:val="28"/>
          <w:u w:val="none"/>
        </w:rPr>
        <w:t>must</w:t>
      </w:r>
      <w:r>
        <w:rPr>
          <w:spacing w:val="-3"/>
          <w:sz w:val="28"/>
          <w:u w:val="none"/>
        </w:rPr>
        <w:t> </w:t>
      </w:r>
      <w:r>
        <w:rPr>
          <w:sz w:val="28"/>
          <w:u w:val="none"/>
        </w:rPr>
        <w:t>adhere</w:t>
      </w:r>
      <w:r>
        <w:rPr>
          <w:spacing w:val="-6"/>
          <w:sz w:val="28"/>
          <w:u w:val="none"/>
        </w:rPr>
        <w:t> </w:t>
      </w:r>
      <w:r>
        <w:rPr>
          <w:sz w:val="28"/>
          <w:u w:val="none"/>
        </w:rPr>
        <w:t>to</w:t>
      </w:r>
      <w:r>
        <w:rPr>
          <w:spacing w:val="-3"/>
          <w:sz w:val="28"/>
          <w:u w:val="none"/>
        </w:rPr>
        <w:t> </w:t>
      </w:r>
      <w:r>
        <w:rPr>
          <w:sz w:val="28"/>
          <w:u w:val="none"/>
        </w:rPr>
        <w:t>all</w:t>
      </w:r>
      <w:r>
        <w:rPr>
          <w:spacing w:val="-3"/>
          <w:sz w:val="28"/>
          <w:u w:val="none"/>
        </w:rPr>
        <w:t> </w:t>
      </w:r>
      <w:r>
        <w:rPr>
          <w:sz w:val="28"/>
          <w:u w:val="none"/>
        </w:rPr>
        <w:t>restrictions</w:t>
      </w:r>
      <w:r>
        <w:rPr>
          <w:spacing w:val="-5"/>
          <w:sz w:val="28"/>
          <w:u w:val="none"/>
        </w:rPr>
        <w:t> </w:t>
      </w:r>
      <w:r>
        <w:rPr>
          <w:sz w:val="28"/>
          <w:u w:val="none"/>
        </w:rPr>
        <w:t>set</w:t>
      </w:r>
      <w:r>
        <w:rPr>
          <w:spacing w:val="-5"/>
          <w:sz w:val="28"/>
          <w:u w:val="none"/>
        </w:rPr>
        <w:t> </w:t>
      </w:r>
      <w:r>
        <w:rPr>
          <w:sz w:val="28"/>
          <w:u w:val="none"/>
        </w:rPr>
        <w:t>by the State of Florida.</w:t>
      </w:r>
    </w:p>
    <w:p>
      <w:pPr>
        <w:pStyle w:val="BodyText"/>
        <w:ind w:left="0"/>
      </w:pPr>
    </w:p>
    <w:p>
      <w:pPr>
        <w:pStyle w:val="Heading2"/>
        <w:numPr>
          <w:ilvl w:val="0"/>
          <w:numId w:val="3"/>
        </w:numPr>
        <w:tabs>
          <w:tab w:pos="1079" w:val="left" w:leader="none"/>
        </w:tabs>
        <w:spacing w:line="240" w:lineRule="auto" w:before="0" w:after="0"/>
        <w:ind w:left="1079" w:right="0" w:hanging="720"/>
        <w:jc w:val="left"/>
        <w:rPr>
          <w:u w:val="none"/>
        </w:rPr>
      </w:pPr>
      <w:r>
        <w:rPr>
          <w:u w:val="single"/>
        </w:rPr>
        <w:t>Educational</w:t>
      </w:r>
      <w:r>
        <w:rPr>
          <w:spacing w:val="-8"/>
          <w:u w:val="single"/>
        </w:rPr>
        <w:t> </w:t>
      </w:r>
      <w:r>
        <w:rPr>
          <w:u w:val="single"/>
        </w:rPr>
        <w:t>Enhancement</w:t>
      </w:r>
      <w:r>
        <w:rPr>
          <w:spacing w:val="-7"/>
          <w:u w:val="single"/>
        </w:rPr>
        <w:t> </w:t>
      </w:r>
      <w:r>
        <w:rPr>
          <w:u w:val="single"/>
        </w:rPr>
        <w:t>Trust</w:t>
      </w:r>
      <w:r>
        <w:rPr>
          <w:spacing w:val="-6"/>
          <w:u w:val="single"/>
        </w:rPr>
        <w:t> </w:t>
      </w:r>
      <w:r>
        <w:rPr>
          <w:u w:val="single"/>
        </w:rPr>
        <w:t>Fund</w:t>
      </w:r>
      <w:r>
        <w:rPr>
          <w:spacing w:val="-7"/>
          <w:u w:val="single"/>
        </w:rPr>
        <w:t> </w:t>
      </w:r>
      <w:r>
        <w:rPr>
          <w:u w:val="single"/>
        </w:rPr>
        <w:t>-Main</w:t>
      </w:r>
      <w:r>
        <w:rPr>
          <w:spacing w:val="-9"/>
          <w:u w:val="single"/>
        </w:rPr>
        <w:t> </w:t>
      </w:r>
      <w:r>
        <w:rPr>
          <w:spacing w:val="-2"/>
          <w:u w:val="single"/>
        </w:rPr>
        <w:t>Campus</w:t>
      </w:r>
    </w:p>
    <w:p>
      <w:pPr>
        <w:pStyle w:val="BodyText"/>
        <w:ind w:left="1079" w:right="446"/>
      </w:pPr>
      <w:r>
        <w:rPr/>
        <w:t>Monies in this fund come from lottery ticket sales revenue received from the State of Florida for UF main campus. These resources are managed by the Budget Office and used</w:t>
      </w:r>
      <w:r>
        <w:rPr>
          <w:spacing w:val="-3"/>
        </w:rPr>
        <w:t> </w:t>
      </w:r>
      <w:r>
        <w:rPr/>
        <w:t>for</w:t>
      </w:r>
      <w:r>
        <w:rPr>
          <w:spacing w:val="-4"/>
        </w:rPr>
        <w:t> </w:t>
      </w:r>
      <w:r>
        <w:rPr/>
        <w:t>main</w:t>
      </w:r>
      <w:r>
        <w:rPr>
          <w:spacing w:val="-3"/>
        </w:rPr>
        <w:t> </w:t>
      </w:r>
      <w:r>
        <w:rPr/>
        <w:t>campus</w:t>
      </w:r>
      <w:r>
        <w:rPr>
          <w:spacing w:val="-3"/>
        </w:rPr>
        <w:t> </w:t>
      </w:r>
      <w:r>
        <w:rPr/>
        <w:t>operational</w:t>
      </w:r>
      <w:r>
        <w:rPr>
          <w:spacing w:val="-3"/>
        </w:rPr>
        <w:t> </w:t>
      </w:r>
      <w:r>
        <w:rPr/>
        <w:t>expenses.</w:t>
      </w:r>
      <w:r>
        <w:rPr>
          <w:spacing w:val="-4"/>
        </w:rPr>
        <w:t> </w:t>
      </w:r>
      <w:r>
        <w:rPr/>
        <w:t>Expenditures</w:t>
      </w:r>
      <w:r>
        <w:rPr>
          <w:spacing w:val="-3"/>
        </w:rPr>
        <w:t> </w:t>
      </w:r>
      <w:r>
        <w:rPr/>
        <w:t>must</w:t>
      </w:r>
      <w:r>
        <w:rPr>
          <w:spacing w:val="-3"/>
        </w:rPr>
        <w:t> </w:t>
      </w:r>
      <w:r>
        <w:rPr/>
        <w:t>adhere</w:t>
      </w:r>
      <w:r>
        <w:rPr>
          <w:spacing w:val="-6"/>
        </w:rPr>
        <w:t> </w:t>
      </w:r>
      <w:r>
        <w:rPr/>
        <w:t>to</w:t>
      </w:r>
      <w:r>
        <w:rPr>
          <w:spacing w:val="-3"/>
        </w:rPr>
        <w:t> </w:t>
      </w:r>
      <w:r>
        <w:rPr/>
        <w:t>all</w:t>
      </w:r>
      <w:r>
        <w:rPr>
          <w:spacing w:val="-3"/>
        </w:rPr>
        <w:t> </w:t>
      </w:r>
      <w:r>
        <w:rPr/>
        <w:t>restrictions set by the State of Florida.</w:t>
      </w:r>
    </w:p>
    <w:p>
      <w:pPr>
        <w:pStyle w:val="BodyText"/>
        <w:ind w:left="0"/>
      </w:pPr>
    </w:p>
    <w:p>
      <w:pPr>
        <w:pStyle w:val="Heading2"/>
        <w:numPr>
          <w:ilvl w:val="0"/>
          <w:numId w:val="3"/>
        </w:numPr>
        <w:tabs>
          <w:tab w:pos="1079" w:val="left" w:leader="none"/>
        </w:tabs>
        <w:spacing w:line="240" w:lineRule="auto" w:before="1" w:after="0"/>
        <w:ind w:left="1079" w:right="0" w:hanging="719"/>
        <w:jc w:val="left"/>
        <w:rPr>
          <w:u w:val="none"/>
        </w:rPr>
      </w:pPr>
      <w:r>
        <w:rPr>
          <w:u w:val="single"/>
        </w:rPr>
        <w:t>Educational</w:t>
      </w:r>
      <w:r>
        <w:rPr>
          <w:spacing w:val="-13"/>
          <w:u w:val="single"/>
        </w:rPr>
        <w:t> </w:t>
      </w:r>
      <w:r>
        <w:rPr>
          <w:u w:val="single"/>
        </w:rPr>
        <w:t>Enhancement</w:t>
      </w:r>
      <w:r>
        <w:rPr>
          <w:spacing w:val="-11"/>
          <w:u w:val="single"/>
        </w:rPr>
        <w:t> </w:t>
      </w:r>
      <w:r>
        <w:rPr>
          <w:u w:val="single"/>
        </w:rPr>
        <w:t>Trust</w:t>
      </w:r>
      <w:r>
        <w:rPr>
          <w:spacing w:val="-11"/>
          <w:u w:val="single"/>
        </w:rPr>
        <w:t> </w:t>
      </w:r>
      <w:r>
        <w:rPr>
          <w:u w:val="single"/>
        </w:rPr>
        <w:t>Fund-</w:t>
      </w:r>
      <w:r>
        <w:rPr>
          <w:spacing w:val="-5"/>
          <w:u w:val="single"/>
        </w:rPr>
        <w:t>HSC</w:t>
      </w:r>
    </w:p>
    <w:p>
      <w:pPr>
        <w:pStyle w:val="BodyText"/>
        <w:ind w:left="1079" w:right="352"/>
      </w:pPr>
      <w:r>
        <w:rPr/>
        <w:t>Monies in this fund come from lottery ticket sales revenue received from the State of Florida</w:t>
      </w:r>
      <w:r>
        <w:rPr>
          <w:spacing w:val="-3"/>
        </w:rPr>
        <w:t> </w:t>
      </w:r>
      <w:r>
        <w:rPr/>
        <w:t>for</w:t>
      </w:r>
      <w:r>
        <w:rPr>
          <w:spacing w:val="-3"/>
        </w:rPr>
        <w:t> </w:t>
      </w:r>
      <w:r>
        <w:rPr/>
        <w:t>UF</w:t>
      </w:r>
      <w:r>
        <w:rPr>
          <w:spacing w:val="-5"/>
        </w:rPr>
        <w:t> </w:t>
      </w:r>
      <w:r>
        <w:rPr/>
        <w:t>Health</w:t>
      </w:r>
      <w:r>
        <w:rPr>
          <w:spacing w:val="-4"/>
        </w:rPr>
        <w:t> </w:t>
      </w:r>
      <w:r>
        <w:rPr/>
        <w:t>Science</w:t>
      </w:r>
      <w:r>
        <w:rPr>
          <w:spacing w:val="-3"/>
        </w:rPr>
        <w:t> </w:t>
      </w:r>
      <w:r>
        <w:rPr/>
        <w:t>Center</w:t>
      </w:r>
      <w:r>
        <w:rPr>
          <w:spacing w:val="-3"/>
        </w:rPr>
        <w:t> </w:t>
      </w:r>
      <w:r>
        <w:rPr/>
        <w:t>(HSC).</w:t>
      </w:r>
      <w:r>
        <w:rPr>
          <w:spacing w:val="-3"/>
        </w:rPr>
        <w:t> </w:t>
      </w:r>
      <w:r>
        <w:rPr/>
        <w:t>These</w:t>
      </w:r>
      <w:r>
        <w:rPr>
          <w:spacing w:val="-3"/>
        </w:rPr>
        <w:t> </w:t>
      </w:r>
      <w:r>
        <w:rPr/>
        <w:t>resources</w:t>
      </w:r>
      <w:r>
        <w:rPr>
          <w:spacing w:val="-2"/>
        </w:rPr>
        <w:t> </w:t>
      </w:r>
      <w:r>
        <w:rPr/>
        <w:t>are</w:t>
      </w:r>
      <w:r>
        <w:rPr>
          <w:spacing w:val="-3"/>
        </w:rPr>
        <w:t> </w:t>
      </w:r>
      <w:r>
        <w:rPr/>
        <w:t>managed</w:t>
      </w:r>
      <w:r>
        <w:rPr>
          <w:spacing w:val="-4"/>
        </w:rPr>
        <w:t> </w:t>
      </w:r>
      <w:r>
        <w:rPr/>
        <w:t>by</w:t>
      </w:r>
      <w:r>
        <w:rPr>
          <w:spacing w:val="-4"/>
        </w:rPr>
        <w:t> </w:t>
      </w:r>
      <w:r>
        <w:rPr/>
        <w:t>the</w:t>
      </w:r>
      <w:r>
        <w:rPr>
          <w:spacing w:val="-3"/>
        </w:rPr>
        <w:t> </w:t>
      </w:r>
      <w:r>
        <w:rPr/>
        <w:t>Budget Office and used for HSC operational expenses. Expenditures must adhere to all restrictions set by the State of Florida.</w:t>
      </w:r>
    </w:p>
    <w:p>
      <w:pPr>
        <w:pStyle w:val="Heading2"/>
        <w:numPr>
          <w:ilvl w:val="0"/>
          <w:numId w:val="3"/>
        </w:numPr>
        <w:tabs>
          <w:tab w:pos="1079" w:val="left" w:leader="none"/>
        </w:tabs>
        <w:spacing w:line="240" w:lineRule="auto" w:before="322" w:after="0"/>
        <w:ind w:left="1079" w:right="0" w:hanging="719"/>
        <w:jc w:val="left"/>
        <w:rPr>
          <w:u w:val="none"/>
        </w:rPr>
      </w:pPr>
      <w:r>
        <w:rPr>
          <w:u w:val="single"/>
        </w:rPr>
        <w:t>Educational</w:t>
      </w:r>
      <w:r>
        <w:rPr>
          <w:spacing w:val="-10"/>
          <w:u w:val="single"/>
        </w:rPr>
        <w:t> </w:t>
      </w:r>
      <w:r>
        <w:rPr>
          <w:u w:val="single"/>
        </w:rPr>
        <w:t>Enhancement</w:t>
      </w:r>
      <w:r>
        <w:rPr>
          <w:spacing w:val="-10"/>
          <w:u w:val="single"/>
        </w:rPr>
        <w:t> </w:t>
      </w:r>
      <w:r>
        <w:rPr>
          <w:u w:val="single"/>
        </w:rPr>
        <w:t>Trust</w:t>
      </w:r>
      <w:r>
        <w:rPr>
          <w:spacing w:val="-10"/>
          <w:u w:val="single"/>
        </w:rPr>
        <w:t> </w:t>
      </w:r>
      <w:r>
        <w:rPr>
          <w:u w:val="single"/>
        </w:rPr>
        <w:t>Fund-</w:t>
      </w:r>
      <w:r>
        <w:rPr>
          <w:spacing w:val="-4"/>
          <w:u w:val="single"/>
        </w:rPr>
        <w:t>IFAS</w:t>
      </w:r>
    </w:p>
    <w:p>
      <w:pPr>
        <w:pStyle w:val="BodyText"/>
        <w:ind w:right="352"/>
      </w:pPr>
      <w:r>
        <w:rPr/>
        <w:t>Monies in this fund come from lottery ticket sales revenue received from the State of Florida</w:t>
      </w:r>
      <w:r>
        <w:rPr>
          <w:spacing w:val="-4"/>
        </w:rPr>
        <w:t> </w:t>
      </w:r>
      <w:r>
        <w:rPr/>
        <w:t>for</w:t>
      </w:r>
      <w:r>
        <w:rPr>
          <w:spacing w:val="-4"/>
        </w:rPr>
        <w:t> </w:t>
      </w:r>
      <w:r>
        <w:rPr/>
        <w:t>the</w:t>
      </w:r>
      <w:r>
        <w:rPr>
          <w:spacing w:val="-4"/>
        </w:rPr>
        <w:t> </w:t>
      </w:r>
      <w:r>
        <w:rPr/>
        <w:t>Institute</w:t>
      </w:r>
      <w:r>
        <w:rPr>
          <w:spacing w:val="-4"/>
        </w:rPr>
        <w:t> </w:t>
      </w:r>
      <w:r>
        <w:rPr/>
        <w:t>of</w:t>
      </w:r>
      <w:r>
        <w:rPr>
          <w:spacing w:val="-4"/>
        </w:rPr>
        <w:t> </w:t>
      </w:r>
      <w:r>
        <w:rPr/>
        <w:t>Food</w:t>
      </w:r>
      <w:r>
        <w:rPr>
          <w:spacing w:val="-3"/>
        </w:rPr>
        <w:t> </w:t>
      </w:r>
      <w:r>
        <w:rPr/>
        <w:t>and</w:t>
      </w:r>
      <w:r>
        <w:rPr>
          <w:spacing w:val="-3"/>
        </w:rPr>
        <w:t> </w:t>
      </w:r>
      <w:r>
        <w:rPr/>
        <w:t>Agricultural</w:t>
      </w:r>
      <w:r>
        <w:rPr>
          <w:spacing w:val="-3"/>
        </w:rPr>
        <w:t> </w:t>
      </w:r>
      <w:r>
        <w:rPr/>
        <w:t>Sciences</w:t>
      </w:r>
      <w:r>
        <w:rPr>
          <w:spacing w:val="-3"/>
        </w:rPr>
        <w:t> </w:t>
      </w:r>
      <w:r>
        <w:rPr/>
        <w:t>(IFAS).</w:t>
      </w:r>
      <w:r>
        <w:rPr>
          <w:spacing w:val="-4"/>
        </w:rPr>
        <w:t> </w:t>
      </w:r>
      <w:r>
        <w:rPr/>
        <w:t>These</w:t>
      </w:r>
      <w:r>
        <w:rPr>
          <w:spacing w:val="-4"/>
        </w:rPr>
        <w:t> </w:t>
      </w:r>
      <w:r>
        <w:rPr/>
        <w:t>resources</w:t>
      </w:r>
      <w:r>
        <w:rPr>
          <w:spacing w:val="-3"/>
        </w:rPr>
        <w:t> </w:t>
      </w:r>
      <w:r>
        <w:rPr/>
        <w:t>are managed by the Budget Office and used for IFAS operational disbursements.</w:t>
      </w:r>
    </w:p>
    <w:p>
      <w:pPr>
        <w:pStyle w:val="BodyText"/>
        <w:spacing w:before="1"/>
      </w:pPr>
      <w:r>
        <w:rPr/>
        <w:t>Expenditures</w:t>
      </w:r>
      <w:r>
        <w:rPr>
          <w:spacing w:val="-5"/>
        </w:rPr>
        <w:t> </w:t>
      </w:r>
      <w:r>
        <w:rPr/>
        <w:t>must</w:t>
      </w:r>
      <w:r>
        <w:rPr>
          <w:spacing w:val="-2"/>
        </w:rPr>
        <w:t> </w:t>
      </w:r>
      <w:r>
        <w:rPr/>
        <w:t>adhere</w:t>
      </w:r>
      <w:r>
        <w:rPr>
          <w:spacing w:val="-6"/>
        </w:rPr>
        <w:t> </w:t>
      </w:r>
      <w:r>
        <w:rPr/>
        <w:t>to</w:t>
      </w:r>
      <w:r>
        <w:rPr>
          <w:spacing w:val="-2"/>
        </w:rPr>
        <w:t> </w:t>
      </w:r>
      <w:r>
        <w:rPr/>
        <w:t>all</w:t>
      </w:r>
      <w:r>
        <w:rPr>
          <w:spacing w:val="-3"/>
        </w:rPr>
        <w:t> </w:t>
      </w:r>
      <w:r>
        <w:rPr/>
        <w:t>restrictions</w:t>
      </w:r>
      <w:r>
        <w:rPr>
          <w:spacing w:val="-4"/>
        </w:rPr>
        <w:t> </w:t>
      </w:r>
      <w:r>
        <w:rPr/>
        <w:t>set</w:t>
      </w:r>
      <w:r>
        <w:rPr>
          <w:spacing w:val="-5"/>
        </w:rPr>
        <w:t> </w:t>
      </w:r>
      <w:r>
        <w:rPr/>
        <w:t>by</w:t>
      </w:r>
      <w:r>
        <w:rPr>
          <w:spacing w:val="-4"/>
        </w:rPr>
        <w:t> </w:t>
      </w:r>
      <w:r>
        <w:rPr/>
        <w:t>the</w:t>
      </w:r>
      <w:r>
        <w:rPr>
          <w:spacing w:val="-4"/>
        </w:rPr>
        <w:t> </w:t>
      </w:r>
      <w:r>
        <w:rPr/>
        <w:t>State</w:t>
      </w:r>
      <w:r>
        <w:rPr>
          <w:spacing w:val="-5"/>
        </w:rPr>
        <w:t> </w:t>
      </w:r>
      <w:r>
        <w:rPr/>
        <w:t>of</w:t>
      </w:r>
      <w:r>
        <w:rPr>
          <w:spacing w:val="-3"/>
        </w:rPr>
        <w:t> </w:t>
      </w:r>
      <w:r>
        <w:rPr>
          <w:spacing w:val="-2"/>
        </w:rPr>
        <w:t>Florida.</w:t>
      </w:r>
    </w:p>
    <w:p>
      <w:pPr>
        <w:pStyle w:val="Heading2"/>
        <w:numPr>
          <w:ilvl w:val="0"/>
          <w:numId w:val="4"/>
        </w:numPr>
        <w:tabs>
          <w:tab w:pos="1079" w:val="left" w:leader="none"/>
        </w:tabs>
        <w:spacing w:line="240" w:lineRule="auto" w:before="321" w:after="0"/>
        <w:ind w:left="1079" w:right="0" w:hanging="719"/>
        <w:jc w:val="left"/>
        <w:rPr>
          <w:u w:val="none"/>
        </w:rPr>
      </w:pPr>
      <w:r>
        <w:rPr>
          <w:u w:val="single"/>
        </w:rPr>
        <w:t>Student</w:t>
      </w:r>
      <w:r>
        <w:rPr>
          <w:spacing w:val="-6"/>
          <w:u w:val="single"/>
        </w:rPr>
        <w:t> </w:t>
      </w:r>
      <w:r>
        <w:rPr>
          <w:u w:val="single"/>
        </w:rPr>
        <w:t>Fees-</w:t>
      </w:r>
      <w:r>
        <w:rPr>
          <w:spacing w:val="-5"/>
          <w:u w:val="single"/>
        </w:rPr>
        <w:t> </w:t>
      </w:r>
      <w:r>
        <w:rPr>
          <w:u w:val="single"/>
        </w:rPr>
        <w:t>Main</w:t>
      </w:r>
      <w:r>
        <w:rPr>
          <w:spacing w:val="-6"/>
          <w:u w:val="single"/>
        </w:rPr>
        <w:t> </w:t>
      </w:r>
      <w:r>
        <w:rPr>
          <w:u w:val="single"/>
        </w:rPr>
        <w:t>Campus</w:t>
      </w:r>
      <w:r>
        <w:rPr>
          <w:spacing w:val="-5"/>
          <w:u w:val="single"/>
        </w:rPr>
        <w:t> </w:t>
      </w:r>
      <w:r>
        <w:rPr>
          <w:spacing w:val="-4"/>
          <w:u w:val="single"/>
        </w:rPr>
        <w:t>Fund</w:t>
      </w:r>
    </w:p>
    <w:p>
      <w:pPr>
        <w:pStyle w:val="BodyText"/>
        <w:ind w:left="1079" w:right="352"/>
      </w:pPr>
      <w:r>
        <w:rPr/>
        <w:t>Monies in this fund come from Education and General student matriculation and out-of-state fees for the main campus. Late fees, library fines, and other miscellaneous revenues are</w:t>
      </w:r>
      <w:r>
        <w:rPr>
          <w:spacing w:val="-4"/>
        </w:rPr>
        <w:t> </w:t>
      </w:r>
      <w:r>
        <w:rPr/>
        <w:t>also</w:t>
      </w:r>
      <w:r>
        <w:rPr>
          <w:spacing w:val="-5"/>
        </w:rPr>
        <w:t> </w:t>
      </w:r>
      <w:r>
        <w:rPr/>
        <w:t>included</w:t>
      </w:r>
      <w:r>
        <w:rPr>
          <w:spacing w:val="-3"/>
        </w:rPr>
        <w:t> </w:t>
      </w:r>
      <w:r>
        <w:rPr/>
        <w:t>in</w:t>
      </w:r>
      <w:r>
        <w:rPr>
          <w:spacing w:val="-3"/>
        </w:rPr>
        <w:t> </w:t>
      </w:r>
      <w:r>
        <w:rPr/>
        <w:t>this</w:t>
      </w:r>
      <w:r>
        <w:rPr>
          <w:spacing w:val="-3"/>
        </w:rPr>
        <w:t> </w:t>
      </w:r>
      <w:r>
        <w:rPr/>
        <w:t>fund.</w:t>
      </w:r>
      <w:r>
        <w:rPr>
          <w:spacing w:val="-4"/>
        </w:rPr>
        <w:t> </w:t>
      </w:r>
      <w:r>
        <w:rPr/>
        <w:t>Expenditures</w:t>
      </w:r>
      <w:r>
        <w:rPr>
          <w:spacing w:val="-3"/>
        </w:rPr>
        <w:t> </w:t>
      </w:r>
      <w:r>
        <w:rPr/>
        <w:t>are</w:t>
      </w:r>
      <w:r>
        <w:rPr>
          <w:spacing w:val="-4"/>
        </w:rPr>
        <w:t> </w:t>
      </w:r>
      <w:r>
        <w:rPr/>
        <w:t>primarily</w:t>
      </w:r>
      <w:r>
        <w:rPr>
          <w:spacing w:val="-3"/>
        </w:rPr>
        <w:t> </w:t>
      </w:r>
      <w:r>
        <w:rPr/>
        <w:t>faculty</w:t>
      </w:r>
      <w:r>
        <w:rPr>
          <w:spacing w:val="-3"/>
        </w:rPr>
        <w:t> </w:t>
      </w:r>
      <w:r>
        <w:rPr/>
        <w:t>salaries</w:t>
      </w:r>
      <w:r>
        <w:rPr>
          <w:spacing w:val="-3"/>
        </w:rPr>
        <w:t> </w:t>
      </w:r>
      <w:r>
        <w:rPr/>
        <w:t>and</w:t>
      </w:r>
      <w:r>
        <w:rPr>
          <w:spacing w:val="-3"/>
        </w:rPr>
        <w:t> </w:t>
      </w:r>
      <w:r>
        <w:rPr/>
        <w:t>must</w:t>
      </w:r>
      <w:r>
        <w:rPr>
          <w:spacing w:val="-3"/>
        </w:rPr>
        <w:t> </w:t>
      </w:r>
      <w:r>
        <w:rPr/>
        <w:t>adhere to all restrictions set by the State of Florida.</w:t>
      </w:r>
    </w:p>
    <w:p>
      <w:pPr>
        <w:pStyle w:val="BodyText"/>
        <w:ind w:left="0"/>
      </w:pPr>
    </w:p>
    <w:p>
      <w:pPr>
        <w:pStyle w:val="Heading2"/>
        <w:numPr>
          <w:ilvl w:val="0"/>
          <w:numId w:val="4"/>
        </w:numPr>
        <w:tabs>
          <w:tab w:pos="1079" w:val="left" w:leader="none"/>
        </w:tabs>
        <w:spacing w:line="240" w:lineRule="auto" w:before="0" w:after="0"/>
        <w:ind w:left="1079" w:right="0" w:hanging="719"/>
        <w:jc w:val="left"/>
        <w:rPr>
          <w:u w:val="none"/>
        </w:rPr>
      </w:pPr>
      <w:r>
        <w:rPr>
          <w:u w:val="single"/>
        </w:rPr>
        <w:t>Student</w:t>
      </w:r>
      <w:r>
        <w:rPr>
          <w:spacing w:val="-7"/>
          <w:u w:val="single"/>
        </w:rPr>
        <w:t> </w:t>
      </w:r>
      <w:r>
        <w:rPr>
          <w:u w:val="single"/>
        </w:rPr>
        <w:t>Fees-HSC</w:t>
      </w:r>
      <w:r>
        <w:rPr>
          <w:spacing w:val="-4"/>
          <w:u w:val="single"/>
        </w:rPr>
        <w:t> Fund</w:t>
      </w:r>
    </w:p>
    <w:p>
      <w:pPr>
        <w:pStyle w:val="BodyText"/>
        <w:ind w:left="1079"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Education</w:t>
      </w:r>
      <w:r>
        <w:rPr>
          <w:spacing w:val="-4"/>
        </w:rPr>
        <w:t> </w:t>
      </w:r>
      <w:r>
        <w:rPr/>
        <w:t>and</w:t>
      </w:r>
      <w:r>
        <w:rPr>
          <w:spacing w:val="-2"/>
        </w:rPr>
        <w:t> </w:t>
      </w:r>
      <w:r>
        <w:rPr/>
        <w:t>General</w:t>
      </w:r>
      <w:r>
        <w:rPr>
          <w:spacing w:val="-4"/>
        </w:rPr>
        <w:t> </w:t>
      </w:r>
      <w:r>
        <w:rPr/>
        <w:t>student</w:t>
      </w:r>
      <w:r>
        <w:rPr>
          <w:spacing w:val="-4"/>
        </w:rPr>
        <w:t> </w:t>
      </w:r>
      <w:r>
        <w:rPr/>
        <w:t>matriculation</w:t>
      </w:r>
      <w:r>
        <w:rPr>
          <w:spacing w:val="-2"/>
        </w:rPr>
        <w:t> </w:t>
      </w:r>
      <w:r>
        <w:rPr/>
        <w:t>and</w:t>
      </w:r>
      <w:r>
        <w:rPr>
          <w:spacing w:val="-4"/>
        </w:rPr>
        <w:t> </w:t>
      </w:r>
      <w:r>
        <w:rPr/>
        <w:t>out-of-state fees for the Health Science Center. Expenditures are primarily faculty salaries and must adhere to all restrictions set by the State of Florida.</w:t>
      </w:r>
    </w:p>
    <w:p>
      <w:pPr>
        <w:pStyle w:val="BodyText"/>
        <w:ind w:left="0"/>
      </w:pPr>
    </w:p>
    <w:p>
      <w:pPr>
        <w:pStyle w:val="Heading2"/>
        <w:numPr>
          <w:ilvl w:val="0"/>
          <w:numId w:val="5"/>
        </w:numPr>
        <w:tabs>
          <w:tab w:pos="1078" w:val="left" w:leader="none"/>
        </w:tabs>
        <w:spacing w:line="240" w:lineRule="auto" w:before="1" w:after="0"/>
        <w:ind w:left="1078" w:right="0" w:hanging="718"/>
        <w:jc w:val="both"/>
        <w:rPr>
          <w:u w:val="none"/>
        </w:rPr>
      </w:pPr>
      <w:r>
        <w:rPr>
          <w:u w:val="single"/>
        </w:rPr>
        <w:t>UF</w:t>
      </w:r>
      <w:r>
        <w:rPr>
          <w:spacing w:val="-5"/>
          <w:u w:val="single"/>
        </w:rPr>
        <w:t> </w:t>
      </w:r>
      <w:r>
        <w:rPr>
          <w:u w:val="single"/>
        </w:rPr>
        <w:t>Strategic</w:t>
      </w:r>
      <w:r>
        <w:rPr>
          <w:spacing w:val="-5"/>
          <w:u w:val="single"/>
        </w:rPr>
        <w:t> </w:t>
      </w:r>
      <w:r>
        <w:rPr>
          <w:spacing w:val="-4"/>
          <w:u w:val="single"/>
        </w:rPr>
        <w:t>Fund</w:t>
      </w:r>
    </w:p>
    <w:p>
      <w:pPr>
        <w:pStyle w:val="BodyText"/>
        <w:ind w:left="1079" w:right="415"/>
        <w:jc w:val="both"/>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President</w:t>
      </w:r>
      <w:r>
        <w:rPr>
          <w:spacing w:val="-2"/>
        </w:rPr>
        <w:t> </w:t>
      </w:r>
      <w:r>
        <w:rPr/>
        <w:t>and</w:t>
      </w:r>
      <w:r>
        <w:rPr>
          <w:spacing w:val="-2"/>
        </w:rPr>
        <w:t> </w:t>
      </w:r>
      <w:r>
        <w:rPr/>
        <w:t>Sr.</w:t>
      </w:r>
      <w:r>
        <w:rPr>
          <w:spacing w:val="-6"/>
        </w:rPr>
        <w:t> </w:t>
      </w:r>
      <w:r>
        <w:rPr/>
        <w:t>VP's</w:t>
      </w:r>
      <w:r>
        <w:rPr>
          <w:spacing w:val="-2"/>
        </w:rPr>
        <w:t> </w:t>
      </w:r>
      <w:r>
        <w:rPr/>
        <w:t>for</w:t>
      </w:r>
      <w:r>
        <w:rPr>
          <w:spacing w:val="-5"/>
        </w:rPr>
        <w:t> </w:t>
      </w:r>
      <w:r>
        <w:rPr/>
        <w:t>strategic</w:t>
      </w:r>
      <w:r>
        <w:rPr>
          <w:spacing w:val="-5"/>
        </w:rPr>
        <w:t> </w:t>
      </w:r>
      <w:r>
        <w:rPr/>
        <w:t>programs. This fund is used to budget and</w:t>
      </w:r>
      <w:r>
        <w:rPr>
          <w:spacing w:val="-1"/>
        </w:rPr>
        <w:t> </w:t>
      </w:r>
      <w:r>
        <w:rPr/>
        <w:t>track expenditures from miscellaneous cash-based funds. Expenditures must adhere to all restrictions set by the State of Florida.</w:t>
      </w:r>
    </w:p>
    <w:p>
      <w:pPr>
        <w:pStyle w:val="BodyText"/>
        <w:spacing w:after="0"/>
        <w:jc w:val="both"/>
        <w:sectPr>
          <w:pgSz w:w="12240" w:h="15840"/>
          <w:pgMar w:header="0" w:footer="672" w:top="980" w:bottom="940" w:left="360" w:right="360"/>
        </w:sectPr>
      </w:pPr>
    </w:p>
    <w:p>
      <w:pPr>
        <w:pStyle w:val="Heading2"/>
        <w:numPr>
          <w:ilvl w:val="0"/>
          <w:numId w:val="5"/>
        </w:numPr>
        <w:tabs>
          <w:tab w:pos="1078" w:val="left" w:leader="none"/>
        </w:tabs>
        <w:spacing w:line="322" w:lineRule="exact" w:before="60" w:after="0"/>
        <w:ind w:left="1078" w:right="0" w:hanging="718"/>
        <w:jc w:val="both"/>
        <w:rPr>
          <w:u w:val="none"/>
        </w:rPr>
      </w:pPr>
      <w:r>
        <w:rPr>
          <w:u w:val="single"/>
        </w:rPr>
        <w:t>Student</w:t>
      </w:r>
      <w:r>
        <w:rPr>
          <w:spacing w:val="-7"/>
          <w:u w:val="single"/>
        </w:rPr>
        <w:t> </w:t>
      </w:r>
      <w:r>
        <w:rPr>
          <w:u w:val="single"/>
        </w:rPr>
        <w:t>Fees-UF</w:t>
      </w:r>
      <w:r>
        <w:rPr>
          <w:spacing w:val="-3"/>
          <w:u w:val="single"/>
        </w:rPr>
        <w:t> </w:t>
      </w:r>
      <w:r>
        <w:rPr>
          <w:spacing w:val="-2"/>
          <w:u w:val="single"/>
        </w:rPr>
        <w:t>Online</w:t>
      </w:r>
    </w:p>
    <w:p>
      <w:pPr>
        <w:pStyle w:val="BodyText"/>
        <w:ind w:right="411" w:hanging="1"/>
        <w:jc w:val="both"/>
      </w:pPr>
      <w:r>
        <w:rPr/>
        <w:t>Monies</w:t>
      </w:r>
      <w:r>
        <w:rPr>
          <w:spacing w:val="-1"/>
        </w:rPr>
        <w:t> </w:t>
      </w:r>
      <w:r>
        <w:rPr/>
        <w:t>in</w:t>
      </w:r>
      <w:r>
        <w:rPr>
          <w:spacing w:val="-1"/>
        </w:rPr>
        <w:t> </w:t>
      </w:r>
      <w:r>
        <w:rPr/>
        <w:t>this</w:t>
      </w:r>
      <w:r>
        <w:rPr>
          <w:spacing w:val="-1"/>
        </w:rPr>
        <w:t> </w:t>
      </w:r>
      <w:r>
        <w:rPr/>
        <w:t>fund</w:t>
      </w:r>
      <w:r>
        <w:rPr>
          <w:spacing w:val="-1"/>
        </w:rPr>
        <w:t> </w:t>
      </w:r>
      <w:r>
        <w:rPr/>
        <w:t>come</w:t>
      </w:r>
      <w:r>
        <w:rPr>
          <w:spacing w:val="-2"/>
        </w:rPr>
        <w:t> </w:t>
      </w:r>
      <w:r>
        <w:rPr/>
        <w:t>from</w:t>
      </w:r>
      <w:r>
        <w:rPr>
          <w:spacing w:val="-4"/>
        </w:rPr>
        <w:t> </w:t>
      </w:r>
      <w:r>
        <w:rPr/>
        <w:t>students</w:t>
      </w:r>
      <w:r>
        <w:rPr>
          <w:spacing w:val="-1"/>
        </w:rPr>
        <w:t> </w:t>
      </w:r>
      <w:r>
        <w:rPr/>
        <w:t>attending</w:t>
      </w:r>
      <w:r>
        <w:rPr>
          <w:spacing w:val="-3"/>
        </w:rPr>
        <w:t> </w:t>
      </w:r>
      <w:r>
        <w:rPr/>
        <w:t>UF</w:t>
      </w:r>
      <w:r>
        <w:rPr>
          <w:spacing w:val="-4"/>
        </w:rPr>
        <w:t> </w:t>
      </w:r>
      <w:r>
        <w:rPr/>
        <w:t>Online.</w:t>
      </w:r>
      <w:r>
        <w:rPr>
          <w:spacing w:val="-5"/>
        </w:rPr>
        <w:t> </w:t>
      </w:r>
      <w:r>
        <w:rPr/>
        <w:t>This</w:t>
      </w:r>
      <w:r>
        <w:rPr>
          <w:spacing w:val="-1"/>
        </w:rPr>
        <w:t> </w:t>
      </w:r>
      <w:r>
        <w:rPr/>
        <w:t>fund</w:t>
      </w:r>
      <w:r>
        <w:rPr>
          <w:spacing w:val="-1"/>
        </w:rPr>
        <w:t> </w:t>
      </w:r>
      <w:r>
        <w:rPr/>
        <w:t>is</w:t>
      </w:r>
      <w:r>
        <w:rPr>
          <w:spacing w:val="-1"/>
        </w:rPr>
        <w:t> </w:t>
      </w:r>
      <w:r>
        <w:rPr/>
        <w:t>used</w:t>
      </w:r>
      <w:r>
        <w:rPr>
          <w:spacing w:val="-1"/>
        </w:rPr>
        <w:t> </w:t>
      </w:r>
      <w:r>
        <w:rPr/>
        <w:t>to</w:t>
      </w:r>
      <w:r>
        <w:rPr>
          <w:spacing w:val="-1"/>
        </w:rPr>
        <w:t> </w:t>
      </w:r>
      <w:r>
        <w:rPr/>
        <w:t>budget and</w:t>
      </w:r>
      <w:r>
        <w:rPr>
          <w:spacing w:val="-3"/>
        </w:rPr>
        <w:t> </w:t>
      </w:r>
      <w:r>
        <w:rPr/>
        <w:t>track</w:t>
      </w:r>
      <w:r>
        <w:rPr>
          <w:spacing w:val="-3"/>
        </w:rPr>
        <w:t> </w:t>
      </w:r>
      <w:r>
        <w:rPr/>
        <w:t>expenditures</w:t>
      </w:r>
      <w:r>
        <w:rPr>
          <w:spacing w:val="-3"/>
        </w:rPr>
        <w:t> </w:t>
      </w:r>
      <w:r>
        <w:rPr/>
        <w:t>from</w:t>
      </w:r>
      <w:r>
        <w:rPr>
          <w:spacing w:val="-4"/>
        </w:rPr>
        <w:t> </w:t>
      </w:r>
      <w:r>
        <w:rPr/>
        <w:t>tuition</w:t>
      </w:r>
      <w:r>
        <w:rPr>
          <w:spacing w:val="-3"/>
        </w:rPr>
        <w:t> </w:t>
      </w:r>
      <w:r>
        <w:rPr/>
        <w:t>funds.</w:t>
      </w:r>
      <w:r>
        <w:rPr>
          <w:spacing w:val="-6"/>
        </w:rPr>
        <w:t> </w:t>
      </w:r>
      <w:r>
        <w:rPr/>
        <w:t>Expenditures</w:t>
      </w:r>
      <w:r>
        <w:rPr>
          <w:spacing w:val="-3"/>
        </w:rPr>
        <w:t> </w:t>
      </w:r>
      <w:r>
        <w:rPr/>
        <w:t>must</w:t>
      </w:r>
      <w:r>
        <w:rPr>
          <w:spacing w:val="-3"/>
        </w:rPr>
        <w:t> </w:t>
      </w:r>
      <w:r>
        <w:rPr/>
        <w:t>adhere</w:t>
      </w:r>
      <w:r>
        <w:rPr>
          <w:spacing w:val="-5"/>
        </w:rPr>
        <w:t> </w:t>
      </w:r>
      <w:r>
        <w:rPr/>
        <w:t>to</w:t>
      </w:r>
      <w:r>
        <w:rPr>
          <w:spacing w:val="-3"/>
        </w:rPr>
        <w:t> </w:t>
      </w:r>
      <w:r>
        <w:rPr/>
        <w:t>all</w:t>
      </w:r>
      <w:r>
        <w:rPr>
          <w:spacing w:val="-3"/>
        </w:rPr>
        <w:t> </w:t>
      </w:r>
      <w:r>
        <w:rPr/>
        <w:t>restrictions</w:t>
      </w:r>
      <w:r>
        <w:rPr>
          <w:spacing w:val="-4"/>
        </w:rPr>
        <w:t> </w:t>
      </w:r>
      <w:r>
        <w:rPr/>
        <w:t>set by the State of Florida.</w:t>
      </w:r>
    </w:p>
    <w:p>
      <w:pPr>
        <w:pStyle w:val="BodyText"/>
        <w:ind w:left="0"/>
      </w:pPr>
    </w:p>
    <w:p>
      <w:pPr>
        <w:pStyle w:val="Heading2"/>
        <w:numPr>
          <w:ilvl w:val="0"/>
          <w:numId w:val="6"/>
        </w:numPr>
        <w:tabs>
          <w:tab w:pos="1080" w:val="left" w:leader="none"/>
        </w:tabs>
        <w:spacing w:line="240" w:lineRule="auto" w:before="0" w:after="0"/>
        <w:ind w:left="1080" w:right="0" w:hanging="720"/>
        <w:jc w:val="left"/>
        <w:rPr>
          <w:u w:val="none"/>
        </w:rPr>
      </w:pPr>
      <w:r>
        <w:rPr>
          <w:u w:val="single"/>
        </w:rPr>
        <w:t>Financial</w:t>
      </w:r>
      <w:r>
        <w:rPr>
          <w:spacing w:val="-11"/>
          <w:u w:val="single"/>
        </w:rPr>
        <w:t> </w:t>
      </w:r>
      <w:r>
        <w:rPr>
          <w:u w:val="single"/>
        </w:rPr>
        <w:t>Aid-Institutional</w:t>
      </w:r>
      <w:r>
        <w:rPr>
          <w:spacing w:val="-8"/>
          <w:u w:val="single"/>
        </w:rPr>
        <w:t> </w:t>
      </w:r>
      <w:r>
        <w:rPr>
          <w:spacing w:val="-4"/>
          <w:u w:val="single"/>
        </w:rPr>
        <w:t>Fund</w:t>
      </w:r>
    </w:p>
    <w:p>
      <w:pPr>
        <w:pStyle w:val="BodyText"/>
        <w:ind w:left="1079" w:right="352"/>
      </w:pPr>
      <w:r>
        <w:rPr/>
        <w:t>Monies in this fund account for activity associated with resources received by an institution</w:t>
      </w:r>
      <w:r>
        <w:rPr>
          <w:spacing w:val="-2"/>
        </w:rPr>
        <w:t> </w:t>
      </w:r>
      <w:r>
        <w:rPr/>
        <w:t>that</w:t>
      </w:r>
      <w:r>
        <w:rPr>
          <w:spacing w:val="-2"/>
        </w:rPr>
        <w:t> </w:t>
      </w:r>
      <w:r>
        <w:rPr/>
        <w:t>have</w:t>
      </w:r>
      <w:r>
        <w:rPr>
          <w:spacing w:val="-5"/>
        </w:rPr>
        <w:t> </w:t>
      </w:r>
      <w:r>
        <w:rPr/>
        <w:t>no</w:t>
      </w:r>
      <w:r>
        <w:rPr>
          <w:spacing w:val="-2"/>
        </w:rPr>
        <w:t> </w:t>
      </w:r>
      <w:r>
        <w:rPr/>
        <w:t>limitations</w:t>
      </w:r>
      <w:r>
        <w:rPr>
          <w:spacing w:val="-4"/>
        </w:rPr>
        <w:t> </w:t>
      </w:r>
      <w:r>
        <w:rPr/>
        <w:t>or</w:t>
      </w:r>
      <w:r>
        <w:rPr>
          <w:spacing w:val="-3"/>
        </w:rPr>
        <w:t> </w:t>
      </w:r>
      <w:r>
        <w:rPr/>
        <w:t>stipulations</w:t>
      </w:r>
      <w:r>
        <w:rPr>
          <w:spacing w:val="-4"/>
        </w:rPr>
        <w:t> </w:t>
      </w:r>
      <w:r>
        <w:rPr/>
        <w:t>placed</w:t>
      </w:r>
      <w:r>
        <w:rPr>
          <w:spacing w:val="-2"/>
        </w:rPr>
        <w:t> </w:t>
      </w:r>
      <w:r>
        <w:rPr/>
        <w:t>on</w:t>
      </w:r>
      <w:r>
        <w:rPr>
          <w:spacing w:val="-2"/>
        </w:rPr>
        <w:t> </w:t>
      </w:r>
      <w:r>
        <w:rPr/>
        <w:t>them</w:t>
      </w:r>
      <w:r>
        <w:rPr>
          <w:spacing w:val="-5"/>
        </w:rPr>
        <w:t> </w:t>
      </w:r>
      <w:r>
        <w:rPr/>
        <w:t>by</w:t>
      </w:r>
      <w:r>
        <w:rPr>
          <w:spacing w:val="-2"/>
        </w:rPr>
        <w:t> </w:t>
      </w:r>
      <w:r>
        <w:rPr/>
        <w:t>external</w:t>
      </w:r>
      <w:r>
        <w:rPr>
          <w:spacing w:val="-2"/>
        </w:rPr>
        <w:t> </w:t>
      </w:r>
      <w:r>
        <w:rPr/>
        <w:t>agencies</w:t>
      </w:r>
      <w:r>
        <w:rPr>
          <w:spacing w:val="-4"/>
        </w:rPr>
        <w:t> </w:t>
      </w:r>
      <w:r>
        <w:rPr/>
        <w:t>or donors, and that have not been set aside for loan, endowment, annuity or life income, or plant purposes. Includes current resources that have internal designations placed by governing boards or institutional management. (Examples-University Scholarship Program, Non-Florida Wavier Scholarship-Adm).</w:t>
      </w:r>
    </w:p>
    <w:p>
      <w:pPr>
        <w:pStyle w:val="Heading2"/>
        <w:numPr>
          <w:ilvl w:val="0"/>
          <w:numId w:val="6"/>
        </w:numPr>
        <w:tabs>
          <w:tab w:pos="1078" w:val="left" w:leader="none"/>
        </w:tabs>
        <w:spacing w:line="240" w:lineRule="auto" w:before="322" w:after="0"/>
        <w:ind w:left="1078" w:right="0" w:hanging="718"/>
        <w:jc w:val="both"/>
        <w:rPr>
          <w:u w:val="none"/>
        </w:rPr>
      </w:pPr>
      <w:r>
        <w:rPr>
          <w:u w:val="single"/>
        </w:rPr>
        <w:t>Waiver</w:t>
      </w:r>
      <w:r>
        <w:rPr>
          <w:spacing w:val="-6"/>
          <w:u w:val="single"/>
        </w:rPr>
        <w:t> </w:t>
      </w:r>
      <w:r>
        <w:rPr>
          <w:u w:val="single"/>
        </w:rPr>
        <w:t>Authority</w:t>
      </w:r>
      <w:r>
        <w:rPr>
          <w:spacing w:val="-5"/>
          <w:u w:val="single"/>
        </w:rPr>
        <w:t> </w:t>
      </w:r>
      <w:r>
        <w:rPr>
          <w:spacing w:val="-2"/>
          <w:u w:val="single"/>
        </w:rPr>
        <w:t>Institutional</w:t>
      </w:r>
    </w:p>
    <w:p>
      <w:pPr>
        <w:pStyle w:val="BodyText"/>
        <w:ind w:right="1219"/>
        <w:jc w:val="both"/>
        <w:rPr>
          <w:b/>
        </w:rPr>
      </w:pPr>
      <w:r>
        <w:rPr/>
        <w:t>Monies</w:t>
      </w:r>
      <w:r>
        <w:rPr>
          <w:spacing w:val="-1"/>
        </w:rPr>
        <w:t> </w:t>
      </w:r>
      <w:r>
        <w:rPr/>
        <w:t>in</w:t>
      </w:r>
      <w:r>
        <w:rPr>
          <w:spacing w:val="-1"/>
        </w:rPr>
        <w:t> </w:t>
      </w:r>
      <w:r>
        <w:rPr/>
        <w:t>this</w:t>
      </w:r>
      <w:r>
        <w:rPr>
          <w:spacing w:val="-1"/>
        </w:rPr>
        <w:t> </w:t>
      </w:r>
      <w:r>
        <w:rPr/>
        <w:t>fund</w:t>
      </w:r>
      <w:r>
        <w:rPr>
          <w:spacing w:val="-1"/>
        </w:rPr>
        <w:t> </w:t>
      </w:r>
      <w:r>
        <w:rPr/>
        <w:t>are</w:t>
      </w:r>
      <w:r>
        <w:rPr>
          <w:spacing w:val="-2"/>
        </w:rPr>
        <w:t> </w:t>
      </w:r>
      <w:r>
        <w:rPr/>
        <w:t>for</w:t>
      </w:r>
      <w:r>
        <w:rPr>
          <w:spacing w:val="-4"/>
        </w:rPr>
        <w:t> </w:t>
      </w:r>
      <w:r>
        <w:rPr/>
        <w:t>tuition</w:t>
      </w:r>
      <w:r>
        <w:rPr>
          <w:spacing w:val="-3"/>
        </w:rPr>
        <w:t> </w:t>
      </w:r>
      <w:r>
        <w:rPr/>
        <w:t>waivers</w:t>
      </w:r>
      <w:r>
        <w:rPr>
          <w:spacing w:val="-3"/>
        </w:rPr>
        <w:t> </w:t>
      </w:r>
      <w:r>
        <w:rPr/>
        <w:t>to</w:t>
      </w:r>
      <w:r>
        <w:rPr>
          <w:spacing w:val="-3"/>
        </w:rPr>
        <w:t> </w:t>
      </w:r>
      <w:r>
        <w:rPr/>
        <w:t>graduate</w:t>
      </w:r>
      <w:r>
        <w:rPr>
          <w:spacing w:val="-4"/>
        </w:rPr>
        <w:t> </w:t>
      </w:r>
      <w:r>
        <w:rPr/>
        <w:t>students.</w:t>
      </w:r>
      <w:r>
        <w:rPr>
          <w:spacing w:val="-2"/>
        </w:rPr>
        <w:t> </w:t>
      </w:r>
      <w:r>
        <w:rPr/>
        <w:t>These</w:t>
      </w:r>
      <w:r>
        <w:rPr>
          <w:spacing w:val="-4"/>
        </w:rPr>
        <w:t> </w:t>
      </w:r>
      <w:r>
        <w:rPr/>
        <w:t>waivers</w:t>
      </w:r>
      <w:r>
        <w:rPr>
          <w:spacing w:val="-1"/>
        </w:rPr>
        <w:t> </w:t>
      </w:r>
      <w:r>
        <w:rPr/>
        <w:t>are granted</w:t>
      </w:r>
      <w:r>
        <w:rPr>
          <w:spacing w:val="-4"/>
        </w:rPr>
        <w:t> </w:t>
      </w:r>
      <w:r>
        <w:rPr/>
        <w:t>to</w:t>
      </w:r>
      <w:r>
        <w:rPr>
          <w:spacing w:val="-4"/>
        </w:rPr>
        <w:t> </w:t>
      </w:r>
      <w:r>
        <w:rPr/>
        <w:t>students</w:t>
      </w:r>
      <w:r>
        <w:rPr>
          <w:spacing w:val="-2"/>
        </w:rPr>
        <w:t> </w:t>
      </w:r>
      <w:r>
        <w:rPr/>
        <w:t>who</w:t>
      </w:r>
      <w:r>
        <w:rPr>
          <w:spacing w:val="-2"/>
        </w:rPr>
        <w:t> </w:t>
      </w:r>
      <w:r>
        <w:rPr/>
        <w:t>are</w:t>
      </w:r>
      <w:r>
        <w:rPr>
          <w:spacing w:val="-3"/>
        </w:rPr>
        <w:t> </w:t>
      </w:r>
      <w:r>
        <w:rPr/>
        <w:t>employed</w:t>
      </w:r>
      <w:r>
        <w:rPr>
          <w:spacing w:val="-4"/>
        </w:rPr>
        <w:t> </w:t>
      </w:r>
      <w:r>
        <w:rPr/>
        <w:t>as</w:t>
      </w:r>
      <w:r>
        <w:rPr>
          <w:spacing w:val="-2"/>
        </w:rPr>
        <w:t> </w:t>
      </w:r>
      <w:r>
        <w:rPr/>
        <w:t>a</w:t>
      </w:r>
      <w:r>
        <w:rPr>
          <w:spacing w:val="-5"/>
        </w:rPr>
        <w:t> </w:t>
      </w:r>
      <w:r>
        <w:rPr/>
        <w:t>graduate</w:t>
      </w:r>
      <w:r>
        <w:rPr>
          <w:spacing w:val="-3"/>
        </w:rPr>
        <w:t> </w:t>
      </w:r>
      <w:r>
        <w:rPr/>
        <w:t>assistant</w:t>
      </w:r>
      <w:r>
        <w:rPr>
          <w:spacing w:val="-2"/>
        </w:rPr>
        <w:t> </w:t>
      </w:r>
      <w:r>
        <w:rPr/>
        <w:t>or</w:t>
      </w:r>
      <w:r>
        <w:rPr>
          <w:spacing w:val="-3"/>
        </w:rPr>
        <w:t> </w:t>
      </w:r>
      <w:r>
        <w:rPr/>
        <w:t>receive</w:t>
      </w:r>
      <w:r>
        <w:rPr>
          <w:spacing w:val="-3"/>
        </w:rPr>
        <w:t> </w:t>
      </w:r>
      <w:r>
        <w:rPr/>
        <w:t>a</w:t>
      </w:r>
      <w:r>
        <w:rPr>
          <w:spacing w:val="-5"/>
        </w:rPr>
        <w:t> </w:t>
      </w:r>
      <w:r>
        <w:rPr/>
        <w:t>graduate fellowship and meet the eligibility requirements established by the University</w:t>
      </w:r>
      <w:r>
        <w:rPr>
          <w:b/>
        </w:rPr>
        <w:t>.</w:t>
      </w:r>
    </w:p>
    <w:p>
      <w:pPr>
        <w:pStyle w:val="BodyText"/>
        <w:spacing w:before="1"/>
        <w:jc w:val="both"/>
      </w:pPr>
      <w:r>
        <w:rPr/>
        <w:t>Expenditures</w:t>
      </w:r>
      <w:r>
        <w:rPr>
          <w:spacing w:val="-5"/>
        </w:rPr>
        <w:t> </w:t>
      </w:r>
      <w:r>
        <w:rPr/>
        <w:t>must</w:t>
      </w:r>
      <w:r>
        <w:rPr>
          <w:spacing w:val="-2"/>
        </w:rPr>
        <w:t> </w:t>
      </w:r>
      <w:r>
        <w:rPr/>
        <w:t>adhere</w:t>
      </w:r>
      <w:r>
        <w:rPr>
          <w:spacing w:val="-6"/>
        </w:rPr>
        <w:t> </w:t>
      </w:r>
      <w:r>
        <w:rPr/>
        <w:t>to</w:t>
      </w:r>
      <w:r>
        <w:rPr>
          <w:spacing w:val="-2"/>
        </w:rPr>
        <w:t> </w:t>
      </w:r>
      <w:r>
        <w:rPr/>
        <w:t>all</w:t>
      </w:r>
      <w:r>
        <w:rPr>
          <w:spacing w:val="-3"/>
        </w:rPr>
        <w:t> </w:t>
      </w:r>
      <w:r>
        <w:rPr/>
        <w:t>restrictions</w:t>
      </w:r>
      <w:r>
        <w:rPr>
          <w:spacing w:val="-4"/>
        </w:rPr>
        <w:t> </w:t>
      </w:r>
      <w:r>
        <w:rPr/>
        <w:t>set</w:t>
      </w:r>
      <w:r>
        <w:rPr>
          <w:spacing w:val="-5"/>
        </w:rPr>
        <w:t> </w:t>
      </w:r>
      <w:r>
        <w:rPr/>
        <w:t>by</w:t>
      </w:r>
      <w:r>
        <w:rPr>
          <w:spacing w:val="-4"/>
        </w:rPr>
        <w:t> </w:t>
      </w:r>
      <w:r>
        <w:rPr/>
        <w:t>the</w:t>
      </w:r>
      <w:r>
        <w:rPr>
          <w:spacing w:val="-4"/>
        </w:rPr>
        <w:t> </w:t>
      </w:r>
      <w:r>
        <w:rPr/>
        <w:t>State</w:t>
      </w:r>
      <w:r>
        <w:rPr>
          <w:spacing w:val="-5"/>
        </w:rPr>
        <w:t> </w:t>
      </w:r>
      <w:r>
        <w:rPr/>
        <w:t>of</w:t>
      </w:r>
      <w:r>
        <w:rPr>
          <w:spacing w:val="-3"/>
        </w:rPr>
        <w:t> </w:t>
      </w:r>
      <w:r>
        <w:rPr>
          <w:spacing w:val="-2"/>
        </w:rPr>
        <w:t>Florida.</w:t>
      </w:r>
    </w:p>
    <w:p>
      <w:pPr>
        <w:pStyle w:val="Heading2"/>
        <w:numPr>
          <w:ilvl w:val="0"/>
          <w:numId w:val="7"/>
        </w:numPr>
        <w:tabs>
          <w:tab w:pos="1079" w:val="left" w:leader="none"/>
        </w:tabs>
        <w:spacing w:line="240" w:lineRule="auto" w:before="321" w:after="0"/>
        <w:ind w:left="1079" w:right="0" w:hanging="720"/>
        <w:jc w:val="left"/>
        <w:rPr>
          <w:u w:val="none"/>
        </w:rPr>
      </w:pPr>
      <w:r>
        <w:rPr>
          <w:u w:val="single"/>
        </w:rPr>
        <w:t>Auxiliary</w:t>
      </w:r>
      <w:r>
        <w:rPr>
          <w:spacing w:val="-7"/>
          <w:u w:val="single"/>
        </w:rPr>
        <w:t> </w:t>
      </w:r>
      <w:r>
        <w:rPr>
          <w:u w:val="single"/>
        </w:rPr>
        <w:t>Enterprise-Reitz</w:t>
      </w:r>
      <w:r>
        <w:rPr>
          <w:spacing w:val="-8"/>
          <w:u w:val="single"/>
        </w:rPr>
        <w:t> </w:t>
      </w:r>
      <w:r>
        <w:rPr>
          <w:u w:val="single"/>
        </w:rPr>
        <w:t>Union</w:t>
      </w:r>
      <w:r>
        <w:rPr>
          <w:spacing w:val="-8"/>
          <w:u w:val="single"/>
        </w:rPr>
        <w:t> </w:t>
      </w:r>
      <w:r>
        <w:rPr>
          <w:spacing w:val="-4"/>
          <w:u w:val="single"/>
        </w:rPr>
        <w:t>Fund</w:t>
      </w:r>
    </w:p>
    <w:p>
      <w:pPr>
        <w:pStyle w:val="BodyText"/>
        <w:ind w:right="446"/>
      </w:pPr>
      <w:r>
        <w:rPr/>
        <w:t>Monies in this fund come from the financial activities of the auxiliary enterprise, J. Wayne Reitz Union (JWRU). JWRU is an integral part of the University of Florida’s educational mission, as it creates diverse interactions and environments to cultivate personal</w:t>
      </w:r>
      <w:r>
        <w:rPr>
          <w:spacing w:val="-3"/>
        </w:rPr>
        <w:t> </w:t>
      </w:r>
      <w:r>
        <w:rPr/>
        <w:t>development</w:t>
      </w:r>
      <w:r>
        <w:rPr>
          <w:spacing w:val="-3"/>
        </w:rPr>
        <w:t> </w:t>
      </w:r>
      <w:r>
        <w:rPr/>
        <w:t>and</w:t>
      </w:r>
      <w:r>
        <w:rPr>
          <w:spacing w:val="-3"/>
        </w:rPr>
        <w:t> </w:t>
      </w:r>
      <w:r>
        <w:rPr/>
        <w:t>enhance</w:t>
      </w:r>
      <w:r>
        <w:rPr>
          <w:spacing w:val="-4"/>
        </w:rPr>
        <w:t> </w:t>
      </w:r>
      <w:r>
        <w:rPr/>
        <w:t>the</w:t>
      </w:r>
      <w:r>
        <w:rPr>
          <w:spacing w:val="-4"/>
        </w:rPr>
        <w:t> </w:t>
      </w:r>
      <w:r>
        <w:rPr/>
        <w:t>University</w:t>
      </w:r>
      <w:r>
        <w:rPr>
          <w:spacing w:val="-3"/>
        </w:rPr>
        <w:t> </w:t>
      </w:r>
      <w:r>
        <w:rPr/>
        <w:t>experience</w:t>
      </w:r>
      <w:r>
        <w:rPr>
          <w:spacing w:val="-4"/>
        </w:rPr>
        <w:t> </w:t>
      </w:r>
      <w:r>
        <w:rPr/>
        <w:t>for</w:t>
      </w:r>
      <w:r>
        <w:rPr>
          <w:spacing w:val="-6"/>
        </w:rPr>
        <w:t> </w:t>
      </w:r>
      <w:r>
        <w:rPr/>
        <w:t>students</w:t>
      </w:r>
      <w:r>
        <w:rPr>
          <w:spacing w:val="-3"/>
        </w:rPr>
        <w:t> </w:t>
      </w:r>
      <w:r>
        <w:rPr/>
        <w:t>and</w:t>
      </w:r>
      <w:r>
        <w:rPr>
          <w:spacing w:val="-3"/>
        </w:rPr>
        <w:t> </w:t>
      </w:r>
      <w:r>
        <w:rPr/>
        <w:t>the</w:t>
      </w:r>
      <w:r>
        <w:rPr>
          <w:spacing w:val="-6"/>
        </w:rPr>
        <w:t> </w:t>
      </w:r>
      <w:r>
        <w:rPr/>
        <w:t>greater University community. Expenditures must support the primary mission of the auxiliary.</w:t>
      </w:r>
    </w:p>
    <w:p>
      <w:pPr>
        <w:pStyle w:val="BodyText"/>
        <w:ind w:left="0"/>
      </w:pPr>
    </w:p>
    <w:p>
      <w:pPr>
        <w:pStyle w:val="Heading2"/>
        <w:numPr>
          <w:ilvl w:val="0"/>
          <w:numId w:val="7"/>
        </w:numPr>
        <w:tabs>
          <w:tab w:pos="1079" w:val="left" w:leader="none"/>
        </w:tabs>
        <w:spacing w:line="322" w:lineRule="exact" w:before="0" w:after="0"/>
        <w:ind w:left="1079" w:right="0" w:hanging="719"/>
        <w:jc w:val="left"/>
        <w:rPr>
          <w:u w:val="none"/>
        </w:rPr>
      </w:pPr>
      <w:r>
        <w:rPr>
          <w:u w:val="single"/>
        </w:rPr>
        <w:t>Auxiliary</w:t>
      </w:r>
      <w:r>
        <w:rPr>
          <w:spacing w:val="-8"/>
          <w:u w:val="single"/>
        </w:rPr>
        <w:t> </w:t>
      </w:r>
      <w:r>
        <w:rPr>
          <w:u w:val="single"/>
        </w:rPr>
        <w:t>Enterprise-Traffic</w:t>
      </w:r>
      <w:r>
        <w:rPr>
          <w:spacing w:val="-8"/>
          <w:u w:val="single"/>
        </w:rPr>
        <w:t> </w:t>
      </w:r>
      <w:r>
        <w:rPr>
          <w:u w:val="single"/>
        </w:rPr>
        <w:t>and</w:t>
      </w:r>
      <w:r>
        <w:rPr>
          <w:spacing w:val="-9"/>
          <w:u w:val="single"/>
        </w:rPr>
        <w:t> </w:t>
      </w:r>
      <w:r>
        <w:rPr>
          <w:u w:val="single"/>
        </w:rPr>
        <w:t>Parking</w:t>
      </w:r>
      <w:r>
        <w:rPr>
          <w:spacing w:val="-6"/>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financial</w:t>
      </w:r>
      <w:r>
        <w:rPr>
          <w:spacing w:val="-3"/>
        </w:rPr>
        <w:t> </w:t>
      </w:r>
      <w:r>
        <w:rPr/>
        <w:t>activities</w:t>
      </w:r>
      <w:r>
        <w:rPr>
          <w:spacing w:val="-3"/>
        </w:rPr>
        <w:t> </w:t>
      </w:r>
      <w:r>
        <w:rPr/>
        <w:t>of</w:t>
      </w:r>
      <w:r>
        <w:rPr>
          <w:spacing w:val="-6"/>
        </w:rPr>
        <w:t> </w:t>
      </w:r>
      <w:r>
        <w:rPr/>
        <w:t>Transportation</w:t>
      </w:r>
      <w:r>
        <w:rPr>
          <w:spacing w:val="-3"/>
        </w:rPr>
        <w:t> </w:t>
      </w:r>
      <w:r>
        <w:rPr/>
        <w:t>and</w:t>
      </w:r>
      <w:r>
        <w:rPr>
          <w:spacing w:val="-3"/>
        </w:rPr>
        <w:t> </w:t>
      </w:r>
      <w:r>
        <w:rPr/>
        <w:t>Parking</w:t>
      </w:r>
      <w:r>
        <w:rPr>
          <w:spacing w:val="-3"/>
        </w:rPr>
        <w:t> </w:t>
      </w:r>
      <w:r>
        <w:rPr/>
        <w:t>Services at the University of Florida. Revenues are derived from parking fees, the issuance of annual parking decals, and from the collection of parking violation fines. Revenues are pledged in support of the retirement of bonds issued for the construction of parking garages. Expenditures must support the primary mission of the auxiliary.</w:t>
      </w:r>
    </w:p>
    <w:p>
      <w:pPr>
        <w:pStyle w:val="BodyText"/>
        <w:ind w:left="0"/>
      </w:pPr>
    </w:p>
    <w:p>
      <w:pPr>
        <w:pStyle w:val="Heading2"/>
        <w:numPr>
          <w:ilvl w:val="0"/>
          <w:numId w:val="7"/>
        </w:numPr>
        <w:tabs>
          <w:tab w:pos="1079" w:val="left" w:leader="none"/>
        </w:tabs>
        <w:spacing w:line="322" w:lineRule="exact" w:before="0" w:after="0"/>
        <w:ind w:left="1079" w:right="0" w:hanging="719"/>
        <w:jc w:val="left"/>
        <w:rPr>
          <w:u w:val="none"/>
        </w:rPr>
      </w:pPr>
      <w:r>
        <w:rPr>
          <w:u w:val="single"/>
        </w:rPr>
        <w:t>Auxiliary</w:t>
      </w:r>
      <w:r>
        <w:rPr>
          <w:spacing w:val="-11"/>
          <w:u w:val="single"/>
        </w:rPr>
        <w:t> </w:t>
      </w:r>
      <w:r>
        <w:rPr>
          <w:u w:val="single"/>
        </w:rPr>
        <w:t>Enterprise-Teaching</w:t>
      </w:r>
      <w:r>
        <w:rPr>
          <w:spacing w:val="-9"/>
          <w:u w:val="single"/>
        </w:rPr>
        <w:t> </w:t>
      </w:r>
      <w:r>
        <w:rPr>
          <w:u w:val="single"/>
        </w:rPr>
        <w:t>and</w:t>
      </w:r>
      <w:r>
        <w:rPr>
          <w:spacing w:val="-9"/>
          <w:u w:val="single"/>
        </w:rPr>
        <w:t> </w:t>
      </w:r>
      <w:r>
        <w:rPr>
          <w:u w:val="single"/>
        </w:rPr>
        <w:t>Technology</w:t>
      </w:r>
      <w:r>
        <w:rPr>
          <w:spacing w:val="-8"/>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continuing</w:t>
      </w:r>
      <w:r>
        <w:rPr>
          <w:spacing w:val="-5"/>
        </w:rPr>
        <w:t> </w:t>
      </w:r>
      <w:r>
        <w:rPr/>
        <w:t>education</w:t>
      </w:r>
      <w:r>
        <w:rPr>
          <w:spacing w:val="-3"/>
        </w:rPr>
        <w:t> </w:t>
      </w:r>
      <w:r>
        <w:rPr/>
        <w:t>for</w:t>
      </w:r>
      <w:r>
        <w:rPr>
          <w:spacing w:val="-6"/>
        </w:rPr>
        <w:t> </w:t>
      </w:r>
      <w:r>
        <w:rPr/>
        <w:t>non-state</w:t>
      </w:r>
      <w:r>
        <w:rPr>
          <w:spacing w:val="-4"/>
        </w:rPr>
        <w:t> </w:t>
      </w:r>
      <w:r>
        <w:rPr/>
        <w:t>funded,</w:t>
      </w:r>
      <w:r>
        <w:rPr>
          <w:spacing w:val="-4"/>
        </w:rPr>
        <w:t> </w:t>
      </w:r>
      <w:r>
        <w:rPr/>
        <w:t>self-supporting college credit courses or programs, non-credit professional development courses or programs designed to upgrade existing technical or professional skills, and courses that are provided primarily for personal enrichment or as a public service to the community.</w:t>
      </w:r>
    </w:p>
    <w:p>
      <w:pPr>
        <w:pStyle w:val="BodyText"/>
      </w:pPr>
      <w:r>
        <w:rPr/>
        <w:t>Expenditures</w:t>
      </w:r>
      <w:r>
        <w:rPr>
          <w:spacing w:val="-6"/>
        </w:rPr>
        <w:t> </w:t>
      </w:r>
      <w:r>
        <w:rPr/>
        <w:t>must</w:t>
      </w:r>
      <w:r>
        <w:rPr>
          <w:spacing w:val="-5"/>
        </w:rPr>
        <w:t> </w:t>
      </w:r>
      <w:r>
        <w:rPr/>
        <w:t>support</w:t>
      </w:r>
      <w:r>
        <w:rPr>
          <w:spacing w:val="-3"/>
        </w:rPr>
        <w:t> </w:t>
      </w:r>
      <w:r>
        <w:rPr/>
        <w:t>the</w:t>
      </w:r>
      <w:r>
        <w:rPr>
          <w:spacing w:val="-4"/>
        </w:rPr>
        <w:t> </w:t>
      </w:r>
      <w:r>
        <w:rPr/>
        <w:t>primary</w:t>
      </w:r>
      <w:r>
        <w:rPr>
          <w:spacing w:val="-5"/>
        </w:rPr>
        <w:t> </w:t>
      </w:r>
      <w:r>
        <w:rPr/>
        <w:t>mission</w:t>
      </w:r>
      <w:r>
        <w:rPr>
          <w:spacing w:val="-3"/>
        </w:rPr>
        <w:t> </w:t>
      </w:r>
      <w:r>
        <w:rPr/>
        <w:t>of</w:t>
      </w:r>
      <w:r>
        <w:rPr>
          <w:spacing w:val="-5"/>
        </w:rPr>
        <w:t> </w:t>
      </w:r>
      <w:r>
        <w:rPr/>
        <w:t>the</w:t>
      </w:r>
      <w:r>
        <w:rPr>
          <w:spacing w:val="-4"/>
        </w:rPr>
        <w:t> </w:t>
      </w:r>
      <w:r>
        <w:rPr>
          <w:spacing w:val="-2"/>
        </w:rPr>
        <w:t>auxiliary.</w:t>
      </w:r>
    </w:p>
    <w:p>
      <w:pPr>
        <w:pStyle w:val="Heading2"/>
        <w:numPr>
          <w:ilvl w:val="0"/>
          <w:numId w:val="7"/>
        </w:numPr>
        <w:tabs>
          <w:tab w:pos="1078" w:val="left" w:leader="none"/>
        </w:tabs>
        <w:spacing w:line="240" w:lineRule="auto" w:before="321" w:after="0"/>
        <w:ind w:left="1078" w:right="0" w:hanging="718"/>
        <w:jc w:val="both"/>
        <w:rPr>
          <w:u w:val="none"/>
        </w:rPr>
      </w:pPr>
      <w:r>
        <w:rPr>
          <w:u w:val="single"/>
        </w:rPr>
        <w:t>Auxiliary</w:t>
      </w:r>
      <w:r>
        <w:rPr>
          <w:spacing w:val="-12"/>
          <w:u w:val="single"/>
        </w:rPr>
        <w:t> </w:t>
      </w:r>
      <w:r>
        <w:rPr>
          <w:u w:val="single"/>
        </w:rPr>
        <w:t>Enterprise-Information</w:t>
      </w:r>
      <w:r>
        <w:rPr>
          <w:spacing w:val="-11"/>
          <w:u w:val="single"/>
        </w:rPr>
        <w:t> </w:t>
      </w:r>
      <w:r>
        <w:rPr>
          <w:u w:val="single"/>
        </w:rPr>
        <w:t>Technology</w:t>
      </w:r>
      <w:r>
        <w:rPr>
          <w:spacing w:val="-11"/>
          <w:u w:val="single"/>
        </w:rPr>
        <w:t> </w:t>
      </w:r>
      <w:r>
        <w:rPr>
          <w:spacing w:val="-4"/>
          <w:u w:val="single"/>
        </w:rPr>
        <w:t>Fund</w:t>
      </w:r>
    </w:p>
    <w:p>
      <w:pPr>
        <w:pStyle w:val="BodyText"/>
        <w:ind w:right="356"/>
        <w:jc w:val="both"/>
      </w:pPr>
      <w:r>
        <w:rPr/>
        <w:t>Monies in this fund come from the financial activities of IT Infrastructures, Enterprise Systems, Telecommunications, Academic Technology, and Research Computing. Expenditures must support the primary mission of the auxiliary.</w:t>
      </w:r>
    </w:p>
    <w:p>
      <w:pPr>
        <w:pStyle w:val="BodyText"/>
        <w:spacing w:after="0"/>
        <w:jc w:val="both"/>
        <w:sectPr>
          <w:pgSz w:w="12240" w:h="15840"/>
          <w:pgMar w:header="0" w:footer="672" w:top="660" w:bottom="860" w:left="360" w:right="360"/>
        </w:sectPr>
      </w:pPr>
    </w:p>
    <w:p>
      <w:pPr>
        <w:pStyle w:val="Heading2"/>
        <w:numPr>
          <w:ilvl w:val="0"/>
          <w:numId w:val="7"/>
        </w:numPr>
        <w:tabs>
          <w:tab w:pos="1079" w:val="left" w:leader="none"/>
        </w:tabs>
        <w:spacing w:line="322" w:lineRule="exact" w:before="60" w:after="0"/>
        <w:ind w:left="1079" w:right="0" w:hanging="719"/>
        <w:jc w:val="left"/>
        <w:rPr>
          <w:u w:val="none"/>
        </w:rPr>
      </w:pPr>
      <w:r>
        <w:rPr>
          <w:u w:val="single"/>
        </w:rPr>
        <w:t>Auxiliary</w:t>
      </w:r>
      <w:r>
        <w:rPr>
          <w:spacing w:val="-5"/>
          <w:u w:val="single"/>
        </w:rPr>
        <w:t> </w:t>
      </w:r>
      <w:r>
        <w:rPr>
          <w:u w:val="single"/>
        </w:rPr>
        <w:t>–</w:t>
      </w:r>
      <w:r>
        <w:rPr>
          <w:spacing w:val="-3"/>
          <w:u w:val="single"/>
        </w:rPr>
        <w:t> </w:t>
      </w:r>
      <w:r>
        <w:rPr>
          <w:u w:val="single"/>
        </w:rPr>
        <w:t>Student</w:t>
      </w:r>
      <w:r>
        <w:rPr>
          <w:spacing w:val="-5"/>
          <w:u w:val="single"/>
        </w:rPr>
        <w:t> </w:t>
      </w:r>
      <w:r>
        <w:rPr>
          <w:u w:val="single"/>
        </w:rPr>
        <w:t>Health</w:t>
      </w:r>
      <w:r>
        <w:rPr>
          <w:spacing w:val="-6"/>
          <w:u w:val="single"/>
        </w:rPr>
        <w:t> </w:t>
      </w:r>
      <w:r>
        <w:rPr>
          <w:u w:val="single"/>
        </w:rPr>
        <w:t>Care</w:t>
      </w:r>
      <w:r>
        <w:rPr>
          <w:spacing w:val="-4"/>
          <w:u w:val="single"/>
        </w:rPr>
        <w:t> </w:t>
      </w:r>
      <w:r>
        <w:rPr>
          <w:u w:val="single"/>
        </w:rPr>
        <w:t>Center</w:t>
      </w:r>
      <w:r>
        <w:rPr>
          <w:spacing w:val="-5"/>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financial</w:t>
      </w:r>
      <w:r>
        <w:rPr>
          <w:spacing w:val="-3"/>
        </w:rPr>
        <w:t> </w:t>
      </w:r>
      <w:r>
        <w:rPr/>
        <w:t>activities</w:t>
      </w:r>
      <w:r>
        <w:rPr>
          <w:spacing w:val="-3"/>
        </w:rPr>
        <w:t> </w:t>
      </w:r>
      <w:r>
        <w:rPr/>
        <w:t>of</w:t>
      </w:r>
      <w:r>
        <w:rPr>
          <w:spacing w:val="-6"/>
        </w:rPr>
        <w:t> </w:t>
      </w:r>
      <w:r>
        <w:rPr/>
        <w:t>the</w:t>
      </w:r>
      <w:r>
        <w:rPr>
          <w:spacing w:val="-4"/>
        </w:rPr>
        <w:t> </w:t>
      </w:r>
      <w:r>
        <w:rPr/>
        <w:t>Student</w:t>
      </w:r>
      <w:r>
        <w:rPr>
          <w:spacing w:val="-3"/>
        </w:rPr>
        <w:t> </w:t>
      </w:r>
      <w:r>
        <w:rPr/>
        <w:t>Health</w:t>
      </w:r>
      <w:r>
        <w:rPr>
          <w:spacing w:val="-3"/>
        </w:rPr>
        <w:t> </w:t>
      </w:r>
      <w:r>
        <w:rPr/>
        <w:t>Care</w:t>
      </w:r>
      <w:r>
        <w:rPr>
          <w:spacing w:val="-4"/>
        </w:rPr>
        <w:t> </w:t>
      </w:r>
      <w:r>
        <w:rPr/>
        <w:t>Center, which provides outpatient medical services to students and staff. Expenditures must support the primary mission of the auxiliary.</w:t>
      </w:r>
    </w:p>
    <w:p>
      <w:pPr>
        <w:pStyle w:val="BodyText"/>
        <w:ind w:left="0"/>
      </w:pPr>
    </w:p>
    <w:p>
      <w:pPr>
        <w:pStyle w:val="Heading2"/>
        <w:numPr>
          <w:ilvl w:val="0"/>
          <w:numId w:val="7"/>
        </w:numPr>
        <w:tabs>
          <w:tab w:pos="1079" w:val="left" w:leader="none"/>
        </w:tabs>
        <w:spacing w:line="240" w:lineRule="auto" w:before="0" w:after="0"/>
        <w:ind w:left="1079" w:right="0" w:hanging="720"/>
        <w:jc w:val="left"/>
        <w:rPr>
          <w:u w:val="none"/>
        </w:rPr>
      </w:pPr>
      <w:r>
        <w:rPr>
          <w:u w:val="single"/>
        </w:rPr>
        <w:t>Auxiliary</w:t>
      </w:r>
      <w:r>
        <w:rPr>
          <w:spacing w:val="-5"/>
          <w:u w:val="single"/>
        </w:rPr>
        <w:t> </w:t>
      </w:r>
      <w:r>
        <w:rPr>
          <w:u w:val="single"/>
        </w:rPr>
        <w:t>–</w:t>
      </w:r>
      <w:r>
        <w:rPr>
          <w:spacing w:val="-5"/>
          <w:u w:val="single"/>
        </w:rPr>
        <w:t> </w:t>
      </w:r>
      <w:r>
        <w:rPr>
          <w:u w:val="single"/>
        </w:rPr>
        <w:t>Distance</w:t>
      </w:r>
      <w:r>
        <w:rPr>
          <w:spacing w:val="-6"/>
          <w:u w:val="single"/>
        </w:rPr>
        <w:t> </w:t>
      </w:r>
      <w:r>
        <w:rPr>
          <w:u w:val="single"/>
        </w:rPr>
        <w:t>Learning</w:t>
      </w:r>
      <w:r>
        <w:rPr>
          <w:spacing w:val="-2"/>
          <w:u w:val="single"/>
        </w:rPr>
        <w:t> </w:t>
      </w:r>
      <w:r>
        <w:rPr>
          <w:spacing w:val="-4"/>
          <w:u w:val="single"/>
        </w:rPr>
        <w:t>Fees</w:t>
      </w:r>
    </w:p>
    <w:p>
      <w:pPr>
        <w:pStyle w:val="BodyText"/>
        <w:ind w:right="352"/>
      </w:pPr>
      <w:r>
        <w:rPr/>
        <w:t>Monies in this fund come from Distance Learning Fees assessed from the distance learning course catalog managed by the Office of Teaching and Technology. Fees assessed</w:t>
      </w:r>
      <w:r>
        <w:rPr>
          <w:spacing w:val="-3"/>
        </w:rPr>
        <w:t> </w:t>
      </w:r>
      <w:r>
        <w:rPr/>
        <w:t>in</w:t>
      </w:r>
      <w:r>
        <w:rPr>
          <w:spacing w:val="-3"/>
        </w:rPr>
        <w:t> </w:t>
      </w:r>
      <w:r>
        <w:rPr/>
        <w:t>compliance</w:t>
      </w:r>
      <w:r>
        <w:rPr>
          <w:spacing w:val="-4"/>
        </w:rPr>
        <w:t> </w:t>
      </w:r>
      <w:r>
        <w:rPr/>
        <w:t>with</w:t>
      </w:r>
      <w:r>
        <w:rPr>
          <w:spacing w:val="-3"/>
        </w:rPr>
        <w:t> </w:t>
      </w:r>
      <w:r>
        <w:rPr/>
        <w:t>BOG</w:t>
      </w:r>
      <w:r>
        <w:rPr>
          <w:spacing w:val="-3"/>
        </w:rPr>
        <w:t> </w:t>
      </w:r>
      <w:r>
        <w:rPr/>
        <w:t>regulations</w:t>
      </w:r>
      <w:r>
        <w:rPr>
          <w:spacing w:val="-3"/>
        </w:rPr>
        <w:t> </w:t>
      </w:r>
      <w:r>
        <w:rPr/>
        <w:t>are</w:t>
      </w:r>
      <w:r>
        <w:rPr>
          <w:spacing w:val="-6"/>
        </w:rPr>
        <w:t> </w:t>
      </w:r>
      <w:r>
        <w:rPr/>
        <w:t>used</w:t>
      </w:r>
      <w:r>
        <w:rPr>
          <w:spacing w:val="-5"/>
        </w:rPr>
        <w:t> </w:t>
      </w:r>
      <w:r>
        <w:rPr/>
        <w:t>to</w:t>
      </w:r>
      <w:r>
        <w:rPr>
          <w:spacing w:val="-5"/>
        </w:rPr>
        <w:t> </w:t>
      </w:r>
      <w:r>
        <w:rPr/>
        <w:t>supplement</w:t>
      </w:r>
      <w:r>
        <w:rPr>
          <w:spacing w:val="-3"/>
        </w:rPr>
        <w:t> </w:t>
      </w:r>
      <w:r>
        <w:rPr/>
        <w:t>the</w:t>
      </w:r>
      <w:r>
        <w:rPr>
          <w:spacing w:val="-6"/>
        </w:rPr>
        <w:t> </w:t>
      </w:r>
      <w:r>
        <w:rPr/>
        <w:t>increased</w:t>
      </w:r>
      <w:r>
        <w:rPr>
          <w:spacing w:val="-3"/>
        </w:rPr>
        <w:t> </w:t>
      </w:r>
      <w:r>
        <w:rPr/>
        <w:t>cost for supporting of these programs.</w:t>
      </w:r>
    </w:p>
    <w:p>
      <w:pPr>
        <w:pStyle w:val="BodyText"/>
        <w:ind w:left="0"/>
      </w:pPr>
    </w:p>
    <w:p>
      <w:pPr>
        <w:pStyle w:val="Heading2"/>
        <w:numPr>
          <w:ilvl w:val="0"/>
          <w:numId w:val="7"/>
        </w:numPr>
        <w:tabs>
          <w:tab w:pos="1078" w:val="left" w:leader="none"/>
        </w:tabs>
        <w:spacing w:line="240" w:lineRule="auto" w:before="0" w:after="0"/>
        <w:ind w:left="1078" w:right="0" w:hanging="718"/>
        <w:jc w:val="both"/>
        <w:rPr>
          <w:u w:val="none"/>
        </w:rPr>
      </w:pPr>
      <w:r>
        <w:rPr>
          <w:spacing w:val="-2"/>
          <w:u w:val="single"/>
        </w:rPr>
        <w:t>Auxiliary-Housing</w:t>
      </w:r>
    </w:p>
    <w:p>
      <w:pPr>
        <w:pStyle w:val="BodyText"/>
        <w:ind w:right="356"/>
        <w:jc w:val="both"/>
      </w:pPr>
      <w:r>
        <w:rPr/>
        <w:t>Monies</w:t>
      </w:r>
      <w:r>
        <w:rPr>
          <w:spacing w:val="-9"/>
        </w:rPr>
        <w:t> </w:t>
      </w:r>
      <w:r>
        <w:rPr/>
        <w:t>in</w:t>
      </w:r>
      <w:r>
        <w:rPr>
          <w:spacing w:val="-9"/>
        </w:rPr>
        <w:t> </w:t>
      </w:r>
      <w:r>
        <w:rPr/>
        <w:t>this</w:t>
      </w:r>
      <w:r>
        <w:rPr>
          <w:spacing w:val="-7"/>
        </w:rPr>
        <w:t> </w:t>
      </w:r>
      <w:r>
        <w:rPr/>
        <w:t>fund</w:t>
      </w:r>
      <w:r>
        <w:rPr>
          <w:spacing w:val="-7"/>
        </w:rPr>
        <w:t> </w:t>
      </w:r>
      <w:r>
        <w:rPr/>
        <w:t>come</w:t>
      </w:r>
      <w:r>
        <w:rPr>
          <w:spacing w:val="-10"/>
        </w:rPr>
        <w:t> </w:t>
      </w:r>
      <w:r>
        <w:rPr/>
        <w:t>primarily</w:t>
      </w:r>
      <w:r>
        <w:rPr>
          <w:spacing w:val="-7"/>
        </w:rPr>
        <w:t> </w:t>
      </w:r>
      <w:r>
        <w:rPr/>
        <w:t>from</w:t>
      </w:r>
      <w:r>
        <w:rPr>
          <w:spacing w:val="-10"/>
        </w:rPr>
        <w:t> </w:t>
      </w:r>
      <w:r>
        <w:rPr/>
        <w:t>the</w:t>
      </w:r>
      <w:r>
        <w:rPr>
          <w:spacing w:val="-8"/>
        </w:rPr>
        <w:t> </w:t>
      </w:r>
      <w:r>
        <w:rPr/>
        <w:t>financial</w:t>
      </w:r>
      <w:r>
        <w:rPr>
          <w:spacing w:val="-7"/>
        </w:rPr>
        <w:t> </w:t>
      </w:r>
      <w:r>
        <w:rPr/>
        <w:t>activities</w:t>
      </w:r>
      <w:r>
        <w:rPr>
          <w:spacing w:val="-9"/>
        </w:rPr>
        <w:t> </w:t>
      </w:r>
      <w:r>
        <w:rPr/>
        <w:t>of</w:t>
      </w:r>
      <w:r>
        <w:rPr>
          <w:spacing w:val="-10"/>
        </w:rPr>
        <w:t> </w:t>
      </w:r>
      <w:r>
        <w:rPr/>
        <w:t>Housing</w:t>
      </w:r>
      <w:r>
        <w:rPr>
          <w:spacing w:val="-9"/>
        </w:rPr>
        <w:t> </w:t>
      </w:r>
      <w:r>
        <w:rPr/>
        <w:t>and</w:t>
      </w:r>
      <w:r>
        <w:rPr>
          <w:spacing w:val="-7"/>
        </w:rPr>
        <w:t> </w:t>
      </w:r>
      <w:r>
        <w:rPr/>
        <w:t>Residence Education at the University of Florida. Revenues are derived from the collection of dorm rents, expenditures for operations, maintenance expenses and pledged for repayment of bonds</w:t>
      </w:r>
      <w:r>
        <w:rPr>
          <w:spacing w:val="-2"/>
        </w:rPr>
        <w:t> </w:t>
      </w:r>
      <w:r>
        <w:rPr/>
        <w:t>issued to finance the construction</w:t>
      </w:r>
      <w:r>
        <w:rPr>
          <w:spacing w:val="-2"/>
        </w:rPr>
        <w:t> </w:t>
      </w:r>
      <w:r>
        <w:rPr/>
        <w:t>to</w:t>
      </w:r>
      <w:r>
        <w:rPr>
          <w:spacing w:val="-2"/>
        </w:rPr>
        <w:t> </w:t>
      </w:r>
      <w:r>
        <w:rPr/>
        <w:t>dorms.</w:t>
      </w:r>
      <w:r>
        <w:rPr>
          <w:spacing w:val="-2"/>
        </w:rPr>
        <w:t> </w:t>
      </w:r>
      <w:r>
        <w:rPr/>
        <w:t>Expenditures</w:t>
      </w:r>
      <w:r>
        <w:rPr>
          <w:spacing w:val="-2"/>
        </w:rPr>
        <w:t> </w:t>
      </w:r>
      <w:r>
        <w:rPr/>
        <w:t>must</w:t>
      </w:r>
      <w:r>
        <w:rPr>
          <w:spacing w:val="-2"/>
        </w:rPr>
        <w:t> </w:t>
      </w:r>
      <w:r>
        <w:rPr/>
        <w:t>support</w:t>
      </w:r>
      <w:r>
        <w:rPr>
          <w:spacing w:val="-2"/>
        </w:rPr>
        <w:t> </w:t>
      </w:r>
      <w:r>
        <w:rPr/>
        <w:t>the primary mission of the auxiliary.</w:t>
      </w:r>
    </w:p>
    <w:p>
      <w:pPr>
        <w:pStyle w:val="BodyText"/>
        <w:ind w:left="0"/>
      </w:pPr>
    </w:p>
    <w:p>
      <w:pPr>
        <w:pStyle w:val="Heading2"/>
        <w:numPr>
          <w:ilvl w:val="0"/>
          <w:numId w:val="7"/>
        </w:numPr>
        <w:tabs>
          <w:tab w:pos="1078" w:val="left" w:leader="none"/>
        </w:tabs>
        <w:spacing w:line="240" w:lineRule="auto" w:before="0" w:after="0"/>
        <w:ind w:left="1078" w:right="0" w:hanging="718"/>
        <w:jc w:val="both"/>
        <w:rPr>
          <w:u w:val="none"/>
        </w:rPr>
      </w:pPr>
      <w:r>
        <w:rPr>
          <w:u w:val="single"/>
        </w:rPr>
        <w:t>Auxiliary-Off</w:t>
      </w:r>
      <w:r>
        <w:rPr>
          <w:spacing w:val="-11"/>
          <w:u w:val="single"/>
        </w:rPr>
        <w:t> </w:t>
      </w:r>
      <w:r>
        <w:rPr>
          <w:u w:val="single"/>
        </w:rPr>
        <w:t>Campus</w:t>
      </w:r>
      <w:r>
        <w:rPr>
          <w:spacing w:val="-8"/>
          <w:u w:val="single"/>
        </w:rPr>
        <w:t> </w:t>
      </w:r>
      <w:r>
        <w:rPr>
          <w:u w:val="single"/>
        </w:rPr>
        <w:t>Educational</w:t>
      </w:r>
      <w:r>
        <w:rPr>
          <w:spacing w:val="-7"/>
          <w:u w:val="single"/>
        </w:rPr>
        <w:t> </w:t>
      </w:r>
      <w:r>
        <w:rPr>
          <w:spacing w:val="-2"/>
          <w:u w:val="single"/>
        </w:rPr>
        <w:t>Activities</w:t>
      </w:r>
    </w:p>
    <w:p>
      <w:pPr>
        <w:pStyle w:val="BodyText"/>
        <w:ind w:right="357"/>
        <w:jc w:val="both"/>
      </w:pPr>
      <w:r>
        <w:rPr/>
        <w:t>Monies in this fund come from Off-Campus Fees assessed from the Off-Campus course catalog and managed by the Office of Teaching and Technology. Fees assessed in compliance</w:t>
      </w:r>
      <w:r>
        <w:rPr>
          <w:spacing w:val="-15"/>
        </w:rPr>
        <w:t> </w:t>
      </w:r>
      <w:r>
        <w:rPr/>
        <w:t>with</w:t>
      </w:r>
      <w:r>
        <w:rPr>
          <w:spacing w:val="-11"/>
        </w:rPr>
        <w:t> </w:t>
      </w:r>
      <w:r>
        <w:rPr/>
        <w:t>BOG</w:t>
      </w:r>
      <w:r>
        <w:rPr>
          <w:spacing w:val="-11"/>
        </w:rPr>
        <w:t> </w:t>
      </w:r>
      <w:r>
        <w:rPr/>
        <w:t>regulations</w:t>
      </w:r>
      <w:r>
        <w:rPr>
          <w:spacing w:val="-14"/>
        </w:rPr>
        <w:t> </w:t>
      </w:r>
      <w:r>
        <w:rPr/>
        <w:t>are</w:t>
      </w:r>
      <w:r>
        <w:rPr>
          <w:spacing w:val="-15"/>
        </w:rPr>
        <w:t> </w:t>
      </w:r>
      <w:r>
        <w:rPr/>
        <w:t>used</w:t>
      </w:r>
      <w:r>
        <w:rPr>
          <w:spacing w:val="-11"/>
        </w:rPr>
        <w:t> </w:t>
      </w:r>
      <w:r>
        <w:rPr/>
        <w:t>to</w:t>
      </w:r>
      <w:r>
        <w:rPr>
          <w:spacing w:val="-14"/>
        </w:rPr>
        <w:t> </w:t>
      </w:r>
      <w:r>
        <w:rPr/>
        <w:t>supplement</w:t>
      </w:r>
      <w:r>
        <w:rPr>
          <w:spacing w:val="-14"/>
        </w:rPr>
        <w:t> </w:t>
      </w:r>
      <w:r>
        <w:rPr/>
        <w:t>the</w:t>
      </w:r>
      <w:r>
        <w:rPr>
          <w:spacing w:val="-12"/>
        </w:rPr>
        <w:t> </w:t>
      </w:r>
      <w:r>
        <w:rPr/>
        <w:t>increased</w:t>
      </w:r>
      <w:r>
        <w:rPr>
          <w:spacing w:val="-14"/>
        </w:rPr>
        <w:t> </w:t>
      </w:r>
      <w:r>
        <w:rPr/>
        <w:t>cost</w:t>
      </w:r>
      <w:r>
        <w:rPr>
          <w:spacing w:val="-14"/>
        </w:rPr>
        <w:t> </w:t>
      </w:r>
      <w:r>
        <w:rPr/>
        <w:t>for</w:t>
      </w:r>
      <w:r>
        <w:rPr>
          <w:spacing w:val="-15"/>
        </w:rPr>
        <w:t> </w:t>
      </w:r>
      <w:r>
        <w:rPr/>
        <w:t>supporting of these programs.</w:t>
      </w:r>
    </w:p>
    <w:p>
      <w:pPr>
        <w:pStyle w:val="BodyText"/>
        <w:ind w:left="0"/>
      </w:pPr>
    </w:p>
    <w:p>
      <w:pPr>
        <w:pStyle w:val="Heading2"/>
        <w:numPr>
          <w:ilvl w:val="0"/>
          <w:numId w:val="7"/>
        </w:numPr>
        <w:tabs>
          <w:tab w:pos="1078" w:val="left" w:leader="none"/>
        </w:tabs>
        <w:spacing w:line="240" w:lineRule="auto" w:before="0" w:after="0"/>
        <w:ind w:left="1078" w:right="0" w:hanging="718"/>
        <w:jc w:val="both"/>
        <w:rPr>
          <w:u w:val="none"/>
        </w:rPr>
      </w:pPr>
      <w:r>
        <w:rPr>
          <w:u w:val="single"/>
        </w:rPr>
        <w:t>Auxiliary-</w:t>
      </w:r>
      <w:r>
        <w:rPr>
          <w:spacing w:val="-6"/>
          <w:u w:val="single"/>
        </w:rPr>
        <w:t> </w:t>
      </w:r>
      <w:r>
        <w:rPr>
          <w:u w:val="single"/>
        </w:rPr>
        <w:t>Other</w:t>
      </w:r>
      <w:r>
        <w:rPr>
          <w:spacing w:val="-5"/>
          <w:u w:val="single"/>
        </w:rPr>
        <w:t> </w:t>
      </w:r>
      <w:r>
        <w:rPr>
          <w:spacing w:val="-4"/>
          <w:u w:val="single"/>
        </w:rPr>
        <w:t>Funds</w:t>
      </w:r>
    </w:p>
    <w:p>
      <w:pPr>
        <w:pStyle w:val="BodyText"/>
        <w:ind w:right="356"/>
        <w:jc w:val="both"/>
      </w:pPr>
      <w:r>
        <w:rPr/>
        <w:t>Monies</w:t>
      </w:r>
      <w:r>
        <w:rPr>
          <w:spacing w:val="-2"/>
        </w:rPr>
        <w:t> </w:t>
      </w:r>
      <w:r>
        <w:rPr/>
        <w:t>in</w:t>
      </w:r>
      <w:r>
        <w:rPr>
          <w:spacing w:val="-2"/>
        </w:rPr>
        <w:t> </w:t>
      </w:r>
      <w:r>
        <w:rPr/>
        <w:t>this fund are generated from</w:t>
      </w:r>
      <w:r>
        <w:rPr>
          <w:spacing w:val="-3"/>
        </w:rPr>
        <w:t> </w:t>
      </w:r>
      <w:r>
        <w:rPr/>
        <w:t>the</w:t>
      </w:r>
      <w:r>
        <w:rPr>
          <w:spacing w:val="-2"/>
        </w:rPr>
        <w:t> </w:t>
      </w:r>
      <w:r>
        <w:rPr/>
        <w:t>sale</w:t>
      </w:r>
      <w:r>
        <w:rPr>
          <w:spacing w:val="-3"/>
        </w:rPr>
        <w:t> </w:t>
      </w:r>
      <w:r>
        <w:rPr/>
        <w:t>of goods</w:t>
      </w:r>
      <w:r>
        <w:rPr>
          <w:spacing w:val="-2"/>
        </w:rPr>
        <w:t> </w:t>
      </w:r>
      <w:r>
        <w:rPr/>
        <w:t>or</w:t>
      </w:r>
      <w:r>
        <w:rPr>
          <w:spacing w:val="-3"/>
        </w:rPr>
        <w:t> </w:t>
      </w:r>
      <w:r>
        <w:rPr/>
        <w:t>services by approved Fee-for-Service Activity (FSEA) that operate in support of University mission. This fund is used to account for activities generated by services to both internal and external users. Expenditures must support the primary mission of the auxiliary.</w:t>
      </w:r>
    </w:p>
    <w:p>
      <w:pPr>
        <w:pStyle w:val="BodyText"/>
        <w:ind w:left="0"/>
      </w:pPr>
    </w:p>
    <w:p>
      <w:pPr>
        <w:pStyle w:val="Heading2"/>
        <w:numPr>
          <w:ilvl w:val="0"/>
          <w:numId w:val="8"/>
        </w:numPr>
        <w:tabs>
          <w:tab w:pos="1060" w:val="left" w:leader="none"/>
        </w:tabs>
        <w:spacing w:line="240" w:lineRule="auto" w:before="1" w:after="0"/>
        <w:ind w:left="1060" w:right="0" w:hanging="701"/>
        <w:jc w:val="left"/>
        <w:rPr>
          <w:u w:val="none"/>
        </w:rPr>
      </w:pPr>
      <w:r>
        <w:rPr>
          <w:u w:val="single"/>
        </w:rPr>
        <w:t>Auxiliary-Working</w:t>
      </w:r>
      <w:r>
        <w:rPr>
          <w:spacing w:val="-8"/>
          <w:u w:val="single"/>
        </w:rPr>
        <w:t> </w:t>
      </w:r>
      <w:r>
        <w:rPr>
          <w:u w:val="single"/>
        </w:rPr>
        <w:t>Capital</w:t>
      </w:r>
      <w:r>
        <w:rPr>
          <w:spacing w:val="-7"/>
          <w:u w:val="single"/>
        </w:rPr>
        <w:t> </w:t>
      </w:r>
      <w:r>
        <w:rPr>
          <w:u w:val="single"/>
        </w:rPr>
        <w:t>Trust</w:t>
      </w:r>
      <w:r>
        <w:rPr>
          <w:spacing w:val="-9"/>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auxiliary-related</w:t>
      </w:r>
      <w:r>
        <w:rPr>
          <w:spacing w:val="-3"/>
        </w:rPr>
        <w:t> </w:t>
      </w:r>
      <w:r>
        <w:rPr/>
        <w:t>financial</w:t>
      </w:r>
      <w:r>
        <w:rPr>
          <w:spacing w:val="-5"/>
        </w:rPr>
        <w:t> </w:t>
      </w:r>
      <w:r>
        <w:rPr/>
        <w:t>transactions</w:t>
      </w:r>
      <w:r>
        <w:rPr>
          <w:spacing w:val="-3"/>
        </w:rPr>
        <w:t> </w:t>
      </w:r>
      <w:r>
        <w:rPr/>
        <w:t>of</w:t>
      </w:r>
      <w:r>
        <w:rPr>
          <w:spacing w:val="-6"/>
        </w:rPr>
        <w:t> </w:t>
      </w:r>
      <w:r>
        <w:rPr/>
        <w:t>the</w:t>
      </w:r>
      <w:r>
        <w:rPr>
          <w:spacing w:val="-6"/>
        </w:rPr>
        <w:t> </w:t>
      </w:r>
      <w:r>
        <w:rPr/>
        <w:t>University’s Facility Services. These services include the sale of utilities (i.e., chilled water, water, waste water, steam, and electricity), refuse pickup services, fuel and repair services for state owned vehicles provided by the Motor Pool department, project management services provided to remodel buildings, contracted custodial and grounds services, and maintenance and repair services. Expenditures must support the primary mission of the </w:t>
      </w:r>
      <w:r>
        <w:rPr>
          <w:spacing w:val="-2"/>
        </w:rPr>
        <w:t>auxiliary.</w:t>
      </w:r>
    </w:p>
    <w:p>
      <w:pPr>
        <w:pStyle w:val="Heading2"/>
        <w:numPr>
          <w:ilvl w:val="0"/>
          <w:numId w:val="8"/>
        </w:numPr>
        <w:tabs>
          <w:tab w:pos="1079" w:val="left" w:leader="none"/>
        </w:tabs>
        <w:spacing w:line="240" w:lineRule="auto" w:before="320" w:after="0"/>
        <w:ind w:left="1079" w:right="0" w:hanging="719"/>
        <w:jc w:val="left"/>
        <w:rPr>
          <w:u w:val="none"/>
        </w:rPr>
      </w:pPr>
      <w:r>
        <w:rPr>
          <w:u w:val="single"/>
        </w:rPr>
        <w:t>Auxiliary-Law</w:t>
      </w:r>
      <w:r>
        <w:rPr>
          <w:spacing w:val="-8"/>
          <w:u w:val="single"/>
        </w:rPr>
        <w:t> </w:t>
      </w:r>
      <w:r>
        <w:rPr>
          <w:u w:val="single"/>
        </w:rPr>
        <w:t>Enforcement</w:t>
      </w:r>
      <w:r>
        <w:rPr>
          <w:spacing w:val="-7"/>
          <w:u w:val="single"/>
        </w:rPr>
        <w:t> </w:t>
      </w:r>
      <w:r>
        <w:rPr>
          <w:u w:val="single"/>
        </w:rPr>
        <w:t>Trust</w:t>
      </w:r>
      <w:r>
        <w:rPr>
          <w:spacing w:val="-8"/>
          <w:u w:val="single"/>
        </w:rPr>
        <w:t> </w:t>
      </w:r>
      <w:r>
        <w:rPr>
          <w:spacing w:val="-4"/>
          <w:u w:val="single"/>
        </w:rPr>
        <w:t>Fund</w:t>
      </w:r>
    </w:p>
    <w:p>
      <w:pPr>
        <w:pStyle w:val="BodyText"/>
        <w:spacing w:before="1"/>
        <w:ind w:left="1079" w:right="352"/>
      </w:pPr>
      <w:r>
        <w:rPr/>
        <w:t>This fund was established for the University Police Department’s (UPD) special law enforcement trust fund. Acting within the jurisdiction of its employing state university, UPD deposits the proceeds accrued pursuant to the provisions of the Florida contraband Forfeiture</w:t>
      </w:r>
      <w:r>
        <w:rPr>
          <w:spacing w:val="-5"/>
        </w:rPr>
        <w:t> </w:t>
      </w:r>
      <w:r>
        <w:rPr/>
        <w:t>Act.</w:t>
      </w:r>
      <w:r>
        <w:rPr>
          <w:spacing w:val="-3"/>
        </w:rPr>
        <w:t> </w:t>
      </w:r>
      <w:r>
        <w:rPr/>
        <w:t>Expenditures</w:t>
      </w:r>
      <w:r>
        <w:rPr>
          <w:spacing w:val="-4"/>
        </w:rPr>
        <w:t> </w:t>
      </w:r>
      <w:r>
        <w:rPr/>
        <w:t>must</w:t>
      </w:r>
      <w:r>
        <w:rPr>
          <w:spacing w:val="-4"/>
        </w:rPr>
        <w:t> </w:t>
      </w:r>
      <w:r>
        <w:rPr/>
        <w:t>support</w:t>
      </w:r>
      <w:r>
        <w:rPr>
          <w:spacing w:val="-4"/>
        </w:rPr>
        <w:t> </w:t>
      </w:r>
      <w:r>
        <w:rPr/>
        <w:t>the</w:t>
      </w:r>
      <w:r>
        <w:rPr>
          <w:spacing w:val="-3"/>
        </w:rPr>
        <w:t> </w:t>
      </w:r>
      <w:r>
        <w:rPr/>
        <w:t>primary</w:t>
      </w:r>
      <w:r>
        <w:rPr>
          <w:spacing w:val="-2"/>
        </w:rPr>
        <w:t> </w:t>
      </w:r>
      <w:r>
        <w:rPr/>
        <w:t>mission</w:t>
      </w:r>
      <w:r>
        <w:rPr>
          <w:spacing w:val="-4"/>
        </w:rPr>
        <w:t> </w:t>
      </w:r>
      <w:r>
        <w:rPr/>
        <w:t>of</w:t>
      </w:r>
      <w:r>
        <w:rPr>
          <w:spacing w:val="-3"/>
        </w:rPr>
        <w:t> </w:t>
      </w:r>
      <w:r>
        <w:rPr/>
        <w:t>the</w:t>
      </w:r>
      <w:r>
        <w:rPr>
          <w:spacing w:val="-5"/>
        </w:rPr>
        <w:t> </w:t>
      </w:r>
      <w:r>
        <w:rPr/>
        <w:t>police</w:t>
      </w:r>
      <w:r>
        <w:rPr>
          <w:spacing w:val="-5"/>
        </w:rPr>
        <w:t> </w:t>
      </w:r>
      <w:r>
        <w:rPr/>
        <w:t>department.</w:t>
      </w:r>
    </w:p>
    <w:p>
      <w:pPr>
        <w:pStyle w:val="BodyText"/>
        <w:spacing w:after="0"/>
        <w:sectPr>
          <w:pgSz w:w="12240" w:h="15840"/>
          <w:pgMar w:header="0" w:footer="672" w:top="660" w:bottom="860" w:left="360" w:right="360"/>
        </w:sectPr>
      </w:pPr>
    </w:p>
    <w:p>
      <w:pPr>
        <w:pStyle w:val="Heading2"/>
        <w:numPr>
          <w:ilvl w:val="0"/>
          <w:numId w:val="8"/>
        </w:numPr>
        <w:tabs>
          <w:tab w:pos="1079" w:val="left" w:leader="none"/>
        </w:tabs>
        <w:spacing w:line="322" w:lineRule="exact" w:before="60" w:after="0"/>
        <w:ind w:left="1079" w:right="0" w:hanging="719"/>
        <w:jc w:val="left"/>
        <w:rPr>
          <w:u w:val="none"/>
        </w:rPr>
      </w:pPr>
      <w:r>
        <w:rPr>
          <w:u w:val="single"/>
        </w:rPr>
        <w:t>Infrastructure</w:t>
      </w:r>
      <w:r>
        <w:rPr>
          <w:spacing w:val="-7"/>
          <w:u w:val="single"/>
        </w:rPr>
        <w:t> </w:t>
      </w:r>
      <w:r>
        <w:rPr>
          <w:u w:val="single"/>
        </w:rPr>
        <w:t>Def</w:t>
      </w:r>
      <w:r>
        <w:rPr>
          <w:spacing w:val="-6"/>
          <w:u w:val="single"/>
        </w:rPr>
        <w:t> </w:t>
      </w:r>
      <w:r>
        <w:rPr>
          <w:spacing w:val="-2"/>
          <w:u w:val="single"/>
        </w:rPr>
        <w:t>Maintenance</w:t>
      </w:r>
    </w:p>
    <w:p>
      <w:pPr>
        <w:pStyle w:val="BodyText"/>
        <w:ind w:left="1079" w:right="446"/>
      </w:pPr>
      <w:r>
        <w:rPr/>
        <w:t>This fund is used to record funding restricted for infrastructure maintenance. Funding was</w:t>
      </w:r>
      <w:r>
        <w:rPr>
          <w:spacing w:val="-3"/>
        </w:rPr>
        <w:t> </w:t>
      </w:r>
      <w:r>
        <w:rPr/>
        <w:t>provided</w:t>
      </w:r>
      <w:r>
        <w:rPr>
          <w:spacing w:val="-3"/>
        </w:rPr>
        <w:t> </w:t>
      </w:r>
      <w:r>
        <w:rPr/>
        <w:t>from</w:t>
      </w:r>
      <w:r>
        <w:rPr>
          <w:spacing w:val="-4"/>
        </w:rPr>
        <w:t> </w:t>
      </w:r>
      <w:r>
        <w:rPr/>
        <w:t>a</w:t>
      </w:r>
      <w:r>
        <w:rPr>
          <w:spacing w:val="-6"/>
        </w:rPr>
        <w:t> </w:t>
      </w:r>
      <w:r>
        <w:rPr/>
        <w:t>contractual</w:t>
      </w:r>
      <w:r>
        <w:rPr>
          <w:spacing w:val="-3"/>
        </w:rPr>
        <w:t> </w:t>
      </w:r>
      <w:r>
        <w:rPr/>
        <w:t>agreement</w:t>
      </w:r>
      <w:r>
        <w:rPr>
          <w:spacing w:val="-3"/>
        </w:rPr>
        <w:t> </w:t>
      </w:r>
      <w:r>
        <w:rPr/>
        <w:t>between</w:t>
      </w:r>
      <w:r>
        <w:rPr>
          <w:spacing w:val="-3"/>
        </w:rPr>
        <w:t> </w:t>
      </w:r>
      <w:r>
        <w:rPr/>
        <w:t>Duke</w:t>
      </w:r>
      <w:r>
        <w:rPr>
          <w:spacing w:val="-4"/>
        </w:rPr>
        <w:t> </w:t>
      </w:r>
      <w:r>
        <w:rPr/>
        <w:t>Energy</w:t>
      </w:r>
      <w:r>
        <w:rPr>
          <w:spacing w:val="-3"/>
        </w:rPr>
        <w:t> </w:t>
      </w:r>
      <w:r>
        <w:rPr/>
        <w:t>and</w:t>
      </w:r>
      <w:r>
        <w:rPr>
          <w:spacing w:val="-3"/>
        </w:rPr>
        <w:t> </w:t>
      </w:r>
      <w:r>
        <w:rPr/>
        <w:t>Business</w:t>
      </w:r>
      <w:r>
        <w:rPr>
          <w:spacing w:val="-3"/>
        </w:rPr>
        <w:t> </w:t>
      </w:r>
      <w:r>
        <w:rPr/>
        <w:t>Affairs.</w:t>
      </w:r>
    </w:p>
    <w:p>
      <w:pPr>
        <w:pStyle w:val="BodyText"/>
        <w:spacing w:before="1"/>
        <w:ind w:left="0"/>
      </w:pPr>
    </w:p>
    <w:p>
      <w:pPr>
        <w:pStyle w:val="Heading2"/>
        <w:numPr>
          <w:ilvl w:val="0"/>
          <w:numId w:val="9"/>
        </w:numPr>
        <w:tabs>
          <w:tab w:pos="1079" w:val="left" w:leader="none"/>
        </w:tabs>
        <w:spacing w:line="322" w:lineRule="exact" w:before="0" w:after="0"/>
        <w:ind w:left="1079" w:right="0" w:hanging="719"/>
        <w:jc w:val="left"/>
        <w:rPr>
          <w:u w:val="none"/>
        </w:rPr>
      </w:pPr>
      <w:r>
        <w:rPr>
          <w:u w:val="single"/>
        </w:rPr>
        <w:t>Support</w:t>
      </w:r>
      <w:r>
        <w:rPr>
          <w:spacing w:val="-7"/>
          <w:u w:val="single"/>
        </w:rPr>
        <w:t> </w:t>
      </w:r>
      <w:r>
        <w:rPr>
          <w:u w:val="single"/>
        </w:rPr>
        <w:t>Unit</w:t>
      </w:r>
      <w:r>
        <w:rPr>
          <w:spacing w:val="-5"/>
          <w:u w:val="single"/>
        </w:rPr>
        <w:t> </w:t>
      </w:r>
      <w:r>
        <w:rPr>
          <w:u w:val="single"/>
        </w:rPr>
        <w:t>Services</w:t>
      </w:r>
      <w:r>
        <w:rPr>
          <w:spacing w:val="-4"/>
          <w:u w:val="single"/>
        </w:rPr>
        <w:t> Funds</w:t>
      </w:r>
    </w:p>
    <w:p>
      <w:pPr>
        <w:pStyle w:val="BodyText"/>
        <w:ind w:right="352"/>
      </w:pPr>
      <w:r>
        <w:rPr/>
        <w:t>Monies in this fund come from revenues and expenditures associated with services provided</w:t>
      </w:r>
      <w:r>
        <w:rPr>
          <w:spacing w:val="-4"/>
        </w:rPr>
        <w:t> </w:t>
      </w:r>
      <w:r>
        <w:rPr/>
        <w:t>by</w:t>
      </w:r>
      <w:r>
        <w:rPr>
          <w:spacing w:val="-4"/>
        </w:rPr>
        <w:t> </w:t>
      </w:r>
      <w:r>
        <w:rPr/>
        <w:t>University</w:t>
      </w:r>
      <w:r>
        <w:rPr>
          <w:spacing w:val="-4"/>
        </w:rPr>
        <w:t> </w:t>
      </w:r>
      <w:r>
        <w:rPr/>
        <w:t>units</w:t>
      </w:r>
      <w:r>
        <w:rPr>
          <w:spacing w:val="-3"/>
        </w:rPr>
        <w:t> </w:t>
      </w:r>
      <w:r>
        <w:rPr/>
        <w:t>for</w:t>
      </w:r>
      <w:r>
        <w:rPr>
          <w:spacing w:val="-3"/>
        </w:rPr>
        <w:t> </w:t>
      </w:r>
      <w:r>
        <w:rPr/>
        <w:t>businesses</w:t>
      </w:r>
      <w:r>
        <w:rPr>
          <w:spacing w:val="-3"/>
        </w:rPr>
        <w:t> </w:t>
      </w:r>
      <w:r>
        <w:rPr/>
        <w:t>outside</w:t>
      </w:r>
      <w:r>
        <w:rPr>
          <w:spacing w:val="-5"/>
        </w:rPr>
        <w:t> </w:t>
      </w:r>
      <w:r>
        <w:rPr/>
        <w:t>the</w:t>
      </w:r>
      <w:r>
        <w:rPr>
          <w:spacing w:val="-3"/>
        </w:rPr>
        <w:t> </w:t>
      </w:r>
      <w:r>
        <w:rPr/>
        <w:t>University</w:t>
      </w:r>
      <w:r>
        <w:rPr>
          <w:spacing w:val="-4"/>
        </w:rPr>
        <w:t> </w:t>
      </w:r>
      <w:r>
        <w:rPr/>
        <w:t>of</w:t>
      </w:r>
      <w:r>
        <w:rPr>
          <w:spacing w:val="-3"/>
        </w:rPr>
        <w:t> </w:t>
      </w:r>
      <w:r>
        <w:rPr/>
        <w:t>Florida.</w:t>
      </w:r>
      <w:r>
        <w:rPr>
          <w:spacing w:val="-4"/>
        </w:rPr>
        <w:t> </w:t>
      </w:r>
      <w:r>
        <w:rPr/>
        <w:t>Examples are Florida Virtual Campus and Florida Polytechnic University.</w:t>
      </w:r>
    </w:p>
    <w:p>
      <w:pPr>
        <w:pStyle w:val="Heading2"/>
        <w:numPr>
          <w:ilvl w:val="0"/>
          <w:numId w:val="9"/>
        </w:numPr>
        <w:tabs>
          <w:tab w:pos="1079" w:val="left" w:leader="none"/>
        </w:tabs>
        <w:spacing w:line="240" w:lineRule="auto" w:before="320" w:after="0"/>
        <w:ind w:left="1079" w:right="0" w:hanging="719"/>
        <w:jc w:val="left"/>
        <w:rPr>
          <w:u w:val="none"/>
        </w:rPr>
      </w:pPr>
      <w:r>
        <w:rPr>
          <w:u w:val="single"/>
        </w:rPr>
        <w:t>Support</w:t>
      </w:r>
      <w:r>
        <w:rPr>
          <w:spacing w:val="-6"/>
          <w:u w:val="single"/>
        </w:rPr>
        <w:t> </w:t>
      </w:r>
      <w:r>
        <w:rPr>
          <w:u w:val="single"/>
        </w:rPr>
        <w:t>Unit</w:t>
      </w:r>
      <w:r>
        <w:rPr>
          <w:spacing w:val="-4"/>
          <w:u w:val="single"/>
        </w:rPr>
        <w:t> </w:t>
      </w:r>
      <w:r>
        <w:rPr>
          <w:u w:val="single"/>
        </w:rPr>
        <w:t>Overhead</w:t>
      </w:r>
      <w:r>
        <w:rPr>
          <w:spacing w:val="-5"/>
          <w:u w:val="single"/>
        </w:rPr>
        <w:t> </w:t>
      </w:r>
      <w:r>
        <w:rPr>
          <w:spacing w:val="-4"/>
          <w:u w:val="single"/>
        </w:rPr>
        <w:t>Fund</w:t>
      </w:r>
    </w:p>
    <w:p>
      <w:pPr>
        <w:pStyle w:val="BodyText"/>
        <w:spacing w:before="2"/>
        <w:ind w:right="446"/>
      </w:pPr>
      <w:r>
        <w:rPr/>
        <w:t>Monies in this fund come from overhead assessed to responsibility centers and is allocated to support units that provide services to responsibility centers. The ultimate customers</w:t>
      </w:r>
      <w:r>
        <w:rPr>
          <w:spacing w:val="-3"/>
        </w:rPr>
        <w:t> </w:t>
      </w:r>
      <w:r>
        <w:rPr/>
        <w:t>of</w:t>
      </w:r>
      <w:r>
        <w:rPr>
          <w:spacing w:val="-3"/>
        </w:rPr>
        <w:t> </w:t>
      </w:r>
      <w:r>
        <w:rPr/>
        <w:t>these</w:t>
      </w:r>
      <w:r>
        <w:rPr>
          <w:spacing w:val="-3"/>
        </w:rPr>
        <w:t> </w:t>
      </w:r>
      <w:r>
        <w:rPr/>
        <w:t>services</w:t>
      </w:r>
      <w:r>
        <w:rPr>
          <w:spacing w:val="-4"/>
        </w:rPr>
        <w:t> </w:t>
      </w:r>
      <w:r>
        <w:rPr/>
        <w:t>will</w:t>
      </w:r>
      <w:r>
        <w:rPr>
          <w:spacing w:val="-3"/>
        </w:rPr>
        <w:t> </w:t>
      </w:r>
      <w:r>
        <w:rPr/>
        <w:t>be</w:t>
      </w:r>
      <w:r>
        <w:rPr>
          <w:spacing w:val="-5"/>
        </w:rPr>
        <w:t> </w:t>
      </w:r>
      <w:r>
        <w:rPr/>
        <w:t>the</w:t>
      </w:r>
      <w:r>
        <w:rPr>
          <w:spacing w:val="-3"/>
        </w:rPr>
        <w:t> </w:t>
      </w:r>
      <w:r>
        <w:rPr/>
        <w:t>students/faculty/staff.</w:t>
      </w:r>
      <w:r>
        <w:rPr>
          <w:spacing w:val="-3"/>
        </w:rPr>
        <w:t> </w:t>
      </w: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support infrastructure operations that are necessary to operate the University.</w:t>
      </w:r>
    </w:p>
    <w:p>
      <w:pPr>
        <w:pStyle w:val="Heading2"/>
        <w:numPr>
          <w:ilvl w:val="0"/>
          <w:numId w:val="10"/>
        </w:numPr>
        <w:tabs>
          <w:tab w:pos="1077" w:val="left" w:leader="none"/>
        </w:tabs>
        <w:spacing w:line="240" w:lineRule="auto" w:before="320" w:after="0"/>
        <w:ind w:left="1077" w:right="0" w:hanging="718"/>
        <w:jc w:val="both"/>
        <w:rPr>
          <w:u w:val="none"/>
        </w:rPr>
      </w:pPr>
      <w:r>
        <w:rPr>
          <w:u w:val="single"/>
        </w:rPr>
        <w:t>Auxiliary-Service</w:t>
      </w:r>
      <w:r>
        <w:rPr>
          <w:spacing w:val="-10"/>
          <w:u w:val="single"/>
        </w:rPr>
        <w:t> </w:t>
      </w:r>
      <w:r>
        <w:rPr>
          <w:u w:val="single"/>
        </w:rPr>
        <w:t>Center</w:t>
      </w:r>
      <w:r>
        <w:rPr>
          <w:spacing w:val="-7"/>
          <w:u w:val="single"/>
        </w:rPr>
        <w:t> </w:t>
      </w:r>
      <w:r>
        <w:rPr>
          <w:spacing w:val="-4"/>
          <w:u w:val="single"/>
        </w:rPr>
        <w:t>Fund</w:t>
      </w:r>
    </w:p>
    <w:p>
      <w:pPr>
        <w:pStyle w:val="BodyText"/>
        <w:ind w:right="355" w:hanging="1"/>
        <w:jc w:val="both"/>
      </w:pPr>
      <w:r>
        <w:rPr/>
        <w:t>This</w:t>
      </w:r>
      <w:r>
        <w:rPr>
          <w:spacing w:val="-9"/>
        </w:rPr>
        <w:t> </w:t>
      </w:r>
      <w:r>
        <w:rPr/>
        <w:t>fund</w:t>
      </w:r>
      <w:r>
        <w:rPr>
          <w:spacing w:val="-11"/>
        </w:rPr>
        <w:t> </w:t>
      </w:r>
      <w:r>
        <w:rPr/>
        <w:t>is</w:t>
      </w:r>
      <w:r>
        <w:rPr>
          <w:spacing w:val="-11"/>
        </w:rPr>
        <w:t> </w:t>
      </w:r>
      <w:r>
        <w:rPr/>
        <w:t>specific</w:t>
      </w:r>
      <w:r>
        <w:rPr>
          <w:spacing w:val="-9"/>
        </w:rPr>
        <w:t> </w:t>
      </w:r>
      <w:r>
        <w:rPr/>
        <w:t>for</w:t>
      </w:r>
      <w:r>
        <w:rPr>
          <w:spacing w:val="-10"/>
        </w:rPr>
        <w:t> </w:t>
      </w:r>
      <w:r>
        <w:rPr/>
        <w:t>Fee-for-Service</w:t>
      </w:r>
      <w:r>
        <w:rPr>
          <w:spacing w:val="-12"/>
        </w:rPr>
        <w:t> </w:t>
      </w:r>
      <w:r>
        <w:rPr/>
        <w:t>Activities</w:t>
      </w:r>
      <w:r>
        <w:rPr>
          <w:spacing w:val="-9"/>
        </w:rPr>
        <w:t> </w:t>
      </w:r>
      <w:r>
        <w:rPr/>
        <w:t>(FSEA),</w:t>
      </w:r>
      <w:r>
        <w:rPr>
          <w:spacing w:val="-11"/>
        </w:rPr>
        <w:t> </w:t>
      </w:r>
      <w:r>
        <w:rPr/>
        <w:t>specifically</w:t>
      </w:r>
      <w:r>
        <w:rPr>
          <w:spacing w:val="-9"/>
        </w:rPr>
        <w:t> </w:t>
      </w:r>
      <w:r>
        <w:rPr/>
        <w:t>defined</w:t>
      </w:r>
      <w:r>
        <w:rPr>
          <w:spacing w:val="-9"/>
        </w:rPr>
        <w:t> </w:t>
      </w:r>
      <w:r>
        <w:rPr/>
        <w:t>as</w:t>
      </w:r>
      <w:r>
        <w:rPr>
          <w:spacing w:val="-9"/>
        </w:rPr>
        <w:t> </w:t>
      </w:r>
      <w:r>
        <w:rPr/>
        <w:t>Service Centers. Monies in this fund come from sales of goods and/or services primarily to university departments, with most revenue generated from sponsored projects.</w:t>
      </w:r>
      <w:r>
        <w:rPr>
          <w:spacing w:val="80"/>
        </w:rPr>
        <w:t> </w:t>
      </w:r>
      <w:r>
        <w:rPr/>
        <w:t>These units recover the costs of their operations through internal services. Expenditures must support the primary mission of the auxiliary.</w:t>
      </w:r>
    </w:p>
    <w:p>
      <w:pPr>
        <w:pStyle w:val="BodyText"/>
        <w:ind w:left="0"/>
      </w:pPr>
    </w:p>
    <w:p>
      <w:pPr>
        <w:pStyle w:val="Heading2"/>
        <w:numPr>
          <w:ilvl w:val="0"/>
          <w:numId w:val="10"/>
        </w:numPr>
        <w:tabs>
          <w:tab w:pos="1078" w:val="left" w:leader="none"/>
        </w:tabs>
        <w:spacing w:line="240" w:lineRule="auto" w:before="0" w:after="0"/>
        <w:ind w:left="1078" w:right="0" w:hanging="718"/>
        <w:jc w:val="both"/>
        <w:rPr>
          <w:u w:val="none"/>
        </w:rPr>
      </w:pPr>
      <w:r>
        <w:rPr>
          <w:u w:val="single"/>
        </w:rPr>
        <w:t>Auxiliary-Material</w:t>
      </w:r>
      <w:r>
        <w:rPr>
          <w:spacing w:val="-8"/>
          <w:u w:val="single"/>
        </w:rPr>
        <w:t> </w:t>
      </w:r>
      <w:r>
        <w:rPr>
          <w:u w:val="single"/>
        </w:rPr>
        <w:t>and</w:t>
      </w:r>
      <w:r>
        <w:rPr>
          <w:spacing w:val="-8"/>
          <w:u w:val="single"/>
        </w:rPr>
        <w:t> </w:t>
      </w:r>
      <w:r>
        <w:rPr>
          <w:u w:val="single"/>
        </w:rPr>
        <w:t>Supply</w:t>
      </w:r>
      <w:r>
        <w:rPr>
          <w:spacing w:val="-7"/>
          <w:u w:val="single"/>
        </w:rPr>
        <w:t> </w:t>
      </w:r>
      <w:r>
        <w:rPr>
          <w:spacing w:val="-4"/>
          <w:u w:val="single"/>
        </w:rPr>
        <w:t>Fees</w:t>
      </w:r>
    </w:p>
    <w:p>
      <w:pPr>
        <w:pStyle w:val="BodyText"/>
        <w:spacing w:before="2"/>
        <w:ind w:left="1079" w:right="355"/>
        <w:jc w:val="both"/>
      </w:pPr>
      <w:r>
        <w:rPr/>
        <w:t>Monies in this fund are from the Material and Supplies Fees (M&amp;S Fees) collected from University courses approved by the Office of Academic Affairs to offset the cost of the student’s</w:t>
      </w:r>
      <w:r>
        <w:rPr>
          <w:spacing w:val="-11"/>
        </w:rPr>
        <w:t> </w:t>
      </w:r>
      <w:r>
        <w:rPr/>
        <w:t>instructional</w:t>
      </w:r>
      <w:r>
        <w:rPr>
          <w:spacing w:val="-11"/>
        </w:rPr>
        <w:t> </w:t>
      </w:r>
      <w:r>
        <w:rPr/>
        <w:t>activities,</w:t>
      </w:r>
      <w:r>
        <w:rPr>
          <w:spacing w:val="-13"/>
        </w:rPr>
        <w:t> </w:t>
      </w:r>
      <w:r>
        <w:rPr/>
        <w:t>excluding</w:t>
      </w:r>
      <w:r>
        <w:rPr>
          <w:spacing w:val="-14"/>
        </w:rPr>
        <w:t> </w:t>
      </w:r>
      <w:r>
        <w:rPr/>
        <w:t>the</w:t>
      </w:r>
      <w:r>
        <w:rPr>
          <w:spacing w:val="-15"/>
        </w:rPr>
        <w:t> </w:t>
      </w:r>
      <w:r>
        <w:rPr/>
        <w:t>cost</w:t>
      </w:r>
      <w:r>
        <w:rPr>
          <w:spacing w:val="-14"/>
        </w:rPr>
        <w:t> </w:t>
      </w:r>
      <w:r>
        <w:rPr/>
        <w:t>of</w:t>
      </w:r>
      <w:r>
        <w:rPr>
          <w:spacing w:val="-12"/>
        </w:rPr>
        <w:t> </w:t>
      </w:r>
      <w:r>
        <w:rPr/>
        <w:t>equipment</w:t>
      </w:r>
      <w:r>
        <w:rPr>
          <w:spacing w:val="-14"/>
        </w:rPr>
        <w:t> </w:t>
      </w:r>
      <w:r>
        <w:rPr/>
        <w:t>replacement,</w:t>
      </w:r>
      <w:r>
        <w:rPr>
          <w:spacing w:val="-13"/>
        </w:rPr>
        <w:t> </w:t>
      </w:r>
      <w:r>
        <w:rPr/>
        <w:t>repairs,</w:t>
      </w:r>
      <w:r>
        <w:rPr>
          <w:spacing w:val="-16"/>
        </w:rPr>
        <w:t> </w:t>
      </w:r>
      <w:r>
        <w:rPr/>
        <w:t>and </w:t>
      </w:r>
      <w:r>
        <w:rPr>
          <w:spacing w:val="-2"/>
        </w:rPr>
        <w:t>maintenance.</w:t>
      </w:r>
    </w:p>
    <w:p>
      <w:pPr>
        <w:pStyle w:val="Heading2"/>
        <w:numPr>
          <w:ilvl w:val="0"/>
          <w:numId w:val="10"/>
        </w:numPr>
        <w:tabs>
          <w:tab w:pos="1078" w:val="left" w:leader="none"/>
        </w:tabs>
        <w:spacing w:line="240" w:lineRule="auto" w:before="320" w:after="0"/>
        <w:ind w:left="1078" w:right="0" w:hanging="718"/>
        <w:jc w:val="both"/>
        <w:rPr>
          <w:u w:val="none"/>
        </w:rPr>
      </w:pPr>
      <w:r>
        <w:rPr>
          <w:u w:val="single"/>
        </w:rPr>
        <w:t>Auxiliary-Equipment</w:t>
      </w:r>
      <w:r>
        <w:rPr>
          <w:spacing w:val="-8"/>
          <w:u w:val="single"/>
        </w:rPr>
        <w:t> </w:t>
      </w:r>
      <w:r>
        <w:rPr>
          <w:u w:val="single"/>
        </w:rPr>
        <w:t>Use</w:t>
      </w:r>
      <w:r>
        <w:rPr>
          <w:spacing w:val="-7"/>
          <w:u w:val="single"/>
        </w:rPr>
        <w:t> </w:t>
      </w:r>
      <w:r>
        <w:rPr>
          <w:u w:val="single"/>
        </w:rPr>
        <w:t>Fee</w:t>
      </w:r>
      <w:r>
        <w:rPr>
          <w:spacing w:val="-7"/>
          <w:u w:val="single"/>
        </w:rPr>
        <w:t> </w:t>
      </w:r>
      <w:r>
        <w:rPr>
          <w:spacing w:val="-4"/>
          <w:u w:val="single"/>
        </w:rPr>
        <w:t>Fund</w:t>
      </w:r>
    </w:p>
    <w:p>
      <w:pPr>
        <w:pStyle w:val="BodyText"/>
        <w:spacing w:before="2"/>
        <w:ind w:left="1079" w:right="356"/>
        <w:jc w:val="both"/>
      </w:pPr>
      <w:r>
        <w:rPr/>
        <w:t>Monies in this fund are from the Equipment Use Fee collected from selected courses that use equipment in the educational process as allowed by the Florida Statues. Departments expend revenue from the equipment use fee for the sole purpose of equipment purchase, replacement, repairs, and equipment specific to the courses charged.</w:t>
      </w:r>
    </w:p>
    <w:p>
      <w:pPr>
        <w:pStyle w:val="Heading2"/>
        <w:numPr>
          <w:ilvl w:val="0"/>
          <w:numId w:val="10"/>
        </w:numPr>
        <w:tabs>
          <w:tab w:pos="1078" w:val="left" w:leader="none"/>
        </w:tabs>
        <w:spacing w:line="240" w:lineRule="auto" w:before="320" w:after="0"/>
        <w:ind w:left="1078" w:right="0" w:hanging="718"/>
        <w:jc w:val="both"/>
        <w:rPr>
          <w:u w:val="none"/>
        </w:rPr>
      </w:pPr>
      <w:r>
        <w:rPr>
          <w:u w:val="single"/>
        </w:rPr>
        <w:t>Student</w:t>
      </w:r>
      <w:r>
        <w:rPr>
          <w:spacing w:val="-8"/>
          <w:u w:val="single"/>
        </w:rPr>
        <w:t> </w:t>
      </w:r>
      <w:r>
        <w:rPr>
          <w:u w:val="single"/>
        </w:rPr>
        <w:t>Fees</w:t>
      </w:r>
      <w:r>
        <w:rPr>
          <w:spacing w:val="-4"/>
          <w:u w:val="single"/>
        </w:rPr>
        <w:t> </w:t>
      </w:r>
      <w:r>
        <w:rPr>
          <w:u w:val="single"/>
        </w:rPr>
        <w:t>Funded</w:t>
      </w:r>
      <w:r>
        <w:rPr>
          <w:spacing w:val="-5"/>
          <w:u w:val="single"/>
        </w:rPr>
        <w:t> </w:t>
      </w:r>
      <w:r>
        <w:rPr>
          <w:spacing w:val="-2"/>
          <w:u w:val="single"/>
        </w:rPr>
        <w:t>Activities</w:t>
      </w:r>
    </w:p>
    <w:p>
      <w:pPr>
        <w:pStyle w:val="BodyText"/>
        <w:ind w:right="357"/>
        <w:jc w:val="both"/>
      </w:pPr>
      <w:r>
        <w:rPr/>
        <w:t>Monies in this fund come from Student Health fees and allocated to Counselling and Wellness Center, and other programs managed by Student Affairs. Activity and Services fees allocated for the repayment of the Student Activity bond are also deposited in this fund. Expenditures must support the primary mission of the unit.</w:t>
      </w:r>
    </w:p>
    <w:p>
      <w:pPr>
        <w:pStyle w:val="BodyText"/>
        <w:spacing w:after="0"/>
        <w:jc w:val="both"/>
        <w:sectPr>
          <w:pgSz w:w="12240" w:h="15840"/>
          <w:pgMar w:header="0" w:footer="672" w:top="660" w:bottom="940" w:left="360" w:right="360"/>
        </w:sectPr>
      </w:pPr>
    </w:p>
    <w:p>
      <w:pPr>
        <w:pStyle w:val="Heading2"/>
        <w:numPr>
          <w:ilvl w:val="0"/>
          <w:numId w:val="10"/>
        </w:numPr>
        <w:tabs>
          <w:tab w:pos="1078" w:val="left" w:leader="none"/>
        </w:tabs>
        <w:spacing w:line="322" w:lineRule="exact" w:before="60" w:after="0"/>
        <w:ind w:left="1078" w:right="0" w:hanging="718"/>
        <w:jc w:val="both"/>
        <w:rPr>
          <w:u w:val="none"/>
        </w:rPr>
      </w:pPr>
      <w:r>
        <w:rPr>
          <w:u w:val="single"/>
        </w:rPr>
        <w:t>Service</w:t>
      </w:r>
      <w:r>
        <w:rPr>
          <w:spacing w:val="-6"/>
          <w:u w:val="single"/>
        </w:rPr>
        <w:t> </w:t>
      </w:r>
      <w:r>
        <w:rPr>
          <w:u w:val="single"/>
        </w:rPr>
        <w:t>Center</w:t>
      </w:r>
      <w:r>
        <w:rPr>
          <w:spacing w:val="-3"/>
          <w:u w:val="single"/>
        </w:rPr>
        <w:t> </w:t>
      </w:r>
      <w:r>
        <w:rPr>
          <w:spacing w:val="-2"/>
          <w:u w:val="single"/>
        </w:rPr>
        <w:t>Support</w:t>
      </w:r>
    </w:p>
    <w:p>
      <w:pPr>
        <w:pStyle w:val="BodyText"/>
        <w:ind w:right="356"/>
        <w:jc w:val="both"/>
      </w:pPr>
      <w:r>
        <w:rPr/>
        <w:t>This fund captures excess generated from external sales of service centers as such units should</w:t>
      </w:r>
      <w:r>
        <w:rPr>
          <w:spacing w:val="-18"/>
        </w:rPr>
        <w:t> </w:t>
      </w:r>
      <w:r>
        <w:rPr/>
        <w:t>recover</w:t>
      </w:r>
      <w:r>
        <w:rPr>
          <w:spacing w:val="-17"/>
        </w:rPr>
        <w:t> </w:t>
      </w:r>
      <w:r>
        <w:rPr/>
        <w:t>facility</w:t>
      </w:r>
      <w:r>
        <w:rPr>
          <w:spacing w:val="-18"/>
        </w:rPr>
        <w:t> </w:t>
      </w:r>
      <w:r>
        <w:rPr/>
        <w:t>and</w:t>
      </w:r>
      <w:r>
        <w:rPr>
          <w:spacing w:val="-17"/>
        </w:rPr>
        <w:t> </w:t>
      </w:r>
      <w:r>
        <w:rPr/>
        <w:t>administrative</w:t>
      </w:r>
      <w:r>
        <w:rPr>
          <w:spacing w:val="-18"/>
        </w:rPr>
        <w:t> </w:t>
      </w:r>
      <w:r>
        <w:rPr/>
        <w:t>cost</w:t>
      </w:r>
      <w:r>
        <w:rPr>
          <w:spacing w:val="-17"/>
        </w:rPr>
        <w:t> </w:t>
      </w:r>
      <w:r>
        <w:rPr/>
        <w:t>(including</w:t>
      </w:r>
      <w:r>
        <w:rPr>
          <w:spacing w:val="-18"/>
        </w:rPr>
        <w:t> </w:t>
      </w:r>
      <w:r>
        <w:rPr/>
        <w:t>depreciation</w:t>
      </w:r>
      <w:r>
        <w:rPr>
          <w:spacing w:val="-17"/>
        </w:rPr>
        <w:t> </w:t>
      </w:r>
      <w:r>
        <w:rPr/>
        <w:t>on</w:t>
      </w:r>
      <w:r>
        <w:rPr>
          <w:spacing w:val="-18"/>
        </w:rPr>
        <w:t> </w:t>
      </w:r>
      <w:r>
        <w:rPr/>
        <w:t>equipment)</w:t>
      </w:r>
      <w:r>
        <w:rPr>
          <w:spacing w:val="-17"/>
        </w:rPr>
        <w:t> </w:t>
      </w:r>
      <w:r>
        <w:rPr/>
        <w:t>when charging</w:t>
      </w:r>
      <w:r>
        <w:rPr>
          <w:spacing w:val="-9"/>
        </w:rPr>
        <w:t> </w:t>
      </w:r>
      <w:r>
        <w:rPr/>
        <w:t>external</w:t>
      </w:r>
      <w:r>
        <w:rPr>
          <w:spacing w:val="-11"/>
        </w:rPr>
        <w:t> </w:t>
      </w:r>
      <w:r>
        <w:rPr/>
        <w:t>customers</w:t>
      </w:r>
      <w:r>
        <w:rPr>
          <w:spacing w:val="-11"/>
        </w:rPr>
        <w:t> </w:t>
      </w:r>
      <w:r>
        <w:rPr/>
        <w:t>which</w:t>
      </w:r>
      <w:r>
        <w:rPr>
          <w:spacing w:val="-11"/>
        </w:rPr>
        <w:t> </w:t>
      </w:r>
      <w:r>
        <w:rPr/>
        <w:t>is</w:t>
      </w:r>
      <w:r>
        <w:rPr>
          <w:spacing w:val="-11"/>
        </w:rPr>
        <w:t> </w:t>
      </w:r>
      <w:r>
        <w:rPr/>
        <w:t>not</w:t>
      </w:r>
      <w:r>
        <w:rPr>
          <w:spacing w:val="-9"/>
        </w:rPr>
        <w:t> </w:t>
      </w:r>
      <w:r>
        <w:rPr/>
        <w:t>the</w:t>
      </w:r>
      <w:r>
        <w:rPr>
          <w:spacing w:val="-10"/>
        </w:rPr>
        <w:t> </w:t>
      </w:r>
      <w:r>
        <w:rPr/>
        <w:t>case</w:t>
      </w:r>
      <w:r>
        <w:rPr>
          <w:spacing w:val="-12"/>
        </w:rPr>
        <w:t> </w:t>
      </w:r>
      <w:r>
        <w:rPr/>
        <w:t>when</w:t>
      </w:r>
      <w:r>
        <w:rPr>
          <w:spacing w:val="-11"/>
        </w:rPr>
        <w:t> </w:t>
      </w:r>
      <w:r>
        <w:rPr/>
        <w:t>billing</w:t>
      </w:r>
      <w:r>
        <w:rPr>
          <w:spacing w:val="-11"/>
        </w:rPr>
        <w:t> </w:t>
      </w:r>
      <w:r>
        <w:rPr/>
        <w:t>other</w:t>
      </w:r>
      <w:r>
        <w:rPr>
          <w:spacing w:val="-12"/>
        </w:rPr>
        <w:t> </w:t>
      </w:r>
      <w:r>
        <w:rPr/>
        <w:t>UF</w:t>
      </w:r>
      <w:r>
        <w:rPr>
          <w:spacing w:val="-13"/>
        </w:rPr>
        <w:t> </w:t>
      </w:r>
      <w:r>
        <w:rPr/>
        <w:t>departments.</w:t>
      </w:r>
      <w:r>
        <w:rPr>
          <w:spacing w:val="-13"/>
        </w:rPr>
        <w:t> </w:t>
      </w:r>
      <w:r>
        <w:rPr/>
        <w:t>This fund allows as well for additional contributions towards service center equipment </w:t>
      </w:r>
      <w:r>
        <w:rPr>
          <w:spacing w:val="-2"/>
        </w:rPr>
        <w:t>purchases.</w:t>
      </w:r>
    </w:p>
    <w:p>
      <w:pPr>
        <w:pStyle w:val="Heading2"/>
        <w:spacing w:before="321"/>
        <w:ind w:left="359"/>
        <w:jc w:val="both"/>
        <w:rPr>
          <w:u w:val="none"/>
        </w:rPr>
      </w:pPr>
      <w:r>
        <w:rPr>
          <w:u w:val="none"/>
        </w:rPr>
        <w:t>168</w:t>
      </w:r>
      <w:r>
        <w:rPr>
          <w:spacing w:val="76"/>
          <w:u w:val="none"/>
        </w:rPr>
        <w:t>  </w:t>
      </w:r>
      <w:r>
        <w:rPr>
          <w:u w:val="single"/>
        </w:rPr>
        <w:t>Cultural</w:t>
      </w:r>
      <w:r>
        <w:rPr>
          <w:spacing w:val="-2"/>
          <w:u w:val="single"/>
        </w:rPr>
        <w:t> Centers/Broadcasting</w:t>
      </w:r>
    </w:p>
    <w:p>
      <w:pPr>
        <w:pStyle w:val="BodyText"/>
        <w:ind w:right="355"/>
        <w:jc w:val="both"/>
      </w:pPr>
      <w:r>
        <w:rPr/>
        <w:t>This fund encompasses public service and cultural activities such as the Center for Performing Arts, the Florida Museum of Natural History, the Harn Museum, and public broadcasting units under the College of Journalism and Communications. Expenditures must support the primary mission of the unit.</w:t>
      </w:r>
    </w:p>
    <w:p>
      <w:pPr>
        <w:pStyle w:val="BodyText"/>
        <w:spacing w:before="1"/>
        <w:ind w:left="0"/>
      </w:pPr>
    </w:p>
    <w:p>
      <w:pPr>
        <w:pStyle w:val="Heading2"/>
        <w:jc w:val="both"/>
        <w:rPr>
          <w:u w:val="none"/>
        </w:rPr>
      </w:pPr>
      <w:r>
        <w:rPr>
          <w:u w:val="none"/>
        </w:rPr>
        <w:t>169</w:t>
      </w:r>
      <w:r>
        <w:rPr>
          <w:spacing w:val="73"/>
          <w:u w:val="none"/>
        </w:rPr>
        <w:t>  </w:t>
      </w:r>
      <w:r>
        <w:rPr>
          <w:u w:val="single"/>
        </w:rPr>
        <w:t>External</w:t>
      </w:r>
      <w:r>
        <w:rPr>
          <w:spacing w:val="-2"/>
          <w:u w:val="single"/>
        </w:rPr>
        <w:t> </w:t>
      </w:r>
      <w:r>
        <w:rPr>
          <w:u w:val="single"/>
        </w:rPr>
        <w:t>Business</w:t>
      </w:r>
      <w:r>
        <w:rPr>
          <w:spacing w:val="-2"/>
          <w:u w:val="single"/>
        </w:rPr>
        <w:t> Activities</w:t>
      </w:r>
    </w:p>
    <w:p>
      <w:pPr>
        <w:pStyle w:val="BodyText"/>
        <w:ind w:right="358"/>
        <w:jc w:val="both"/>
      </w:pPr>
      <w:r>
        <w:rPr/>
        <w:t>This</w:t>
      </w:r>
      <w:r>
        <w:rPr>
          <w:spacing w:val="-18"/>
        </w:rPr>
        <w:t> </w:t>
      </w:r>
      <w:r>
        <w:rPr/>
        <w:t>fund</w:t>
      </w:r>
      <w:r>
        <w:rPr>
          <w:spacing w:val="-17"/>
        </w:rPr>
        <w:t> </w:t>
      </w:r>
      <w:r>
        <w:rPr/>
        <w:t>encompasses</w:t>
      </w:r>
      <w:r>
        <w:rPr>
          <w:spacing w:val="-18"/>
        </w:rPr>
        <w:t> </w:t>
      </w:r>
      <w:r>
        <w:rPr/>
        <w:t>business</w:t>
      </w:r>
      <w:r>
        <w:rPr>
          <w:spacing w:val="-17"/>
        </w:rPr>
        <w:t> </w:t>
      </w:r>
      <w:r>
        <w:rPr/>
        <w:t>enterprises</w:t>
      </w:r>
      <w:r>
        <w:rPr>
          <w:spacing w:val="-18"/>
        </w:rPr>
        <w:t> </w:t>
      </w:r>
      <w:r>
        <w:rPr/>
        <w:t>providing</w:t>
      </w:r>
      <w:r>
        <w:rPr>
          <w:spacing w:val="-17"/>
        </w:rPr>
        <w:t> </w:t>
      </w:r>
      <w:r>
        <w:rPr/>
        <w:t>services</w:t>
      </w:r>
      <w:r>
        <w:rPr>
          <w:spacing w:val="-18"/>
        </w:rPr>
        <w:t> </w:t>
      </w:r>
      <w:r>
        <w:rPr/>
        <w:t>primarily</w:t>
      </w:r>
      <w:r>
        <w:rPr>
          <w:spacing w:val="-17"/>
        </w:rPr>
        <w:t> </w:t>
      </w:r>
      <w:r>
        <w:rPr/>
        <w:t>to</w:t>
      </w:r>
      <w:r>
        <w:rPr>
          <w:spacing w:val="-18"/>
        </w:rPr>
        <w:t> </w:t>
      </w:r>
      <w:r>
        <w:rPr/>
        <w:t>external</w:t>
      </w:r>
      <w:r>
        <w:rPr>
          <w:spacing w:val="-17"/>
        </w:rPr>
        <w:t> </w:t>
      </w:r>
      <w:r>
        <w:rPr/>
        <w:t>parties and in support of the mission of the University. Enterprises include testing labs and other professional services. Expenditures must support the primary mission of the unit.</w:t>
      </w:r>
    </w:p>
    <w:p>
      <w:pPr>
        <w:pStyle w:val="BodyText"/>
        <w:ind w:left="0"/>
      </w:pPr>
    </w:p>
    <w:p>
      <w:pPr>
        <w:pStyle w:val="Heading2"/>
        <w:tabs>
          <w:tab w:pos="1079" w:val="left" w:leader="none"/>
        </w:tabs>
        <w:rPr>
          <w:u w:val="none"/>
        </w:rPr>
      </w:pPr>
      <w:r>
        <w:rPr>
          <w:spacing w:val="-5"/>
          <w:u w:val="none"/>
        </w:rPr>
        <w:t>171</w:t>
      </w:r>
      <w:r>
        <w:rPr>
          <w:u w:val="none"/>
        </w:rPr>
        <w:tab/>
      </w:r>
      <w:r>
        <w:rPr>
          <w:u w:val="single"/>
        </w:rPr>
        <w:t>Transfer</w:t>
      </w:r>
      <w:r>
        <w:rPr>
          <w:spacing w:val="-4"/>
          <w:u w:val="single"/>
        </w:rPr>
        <w:t> </w:t>
      </w:r>
      <w:r>
        <w:rPr>
          <w:u w:val="single"/>
        </w:rPr>
        <w:t>from</w:t>
      </w:r>
      <w:r>
        <w:rPr>
          <w:spacing w:val="-8"/>
          <w:u w:val="single"/>
        </w:rPr>
        <w:t> </w:t>
      </w:r>
      <w:r>
        <w:rPr>
          <w:u w:val="single"/>
        </w:rPr>
        <w:t>Component</w:t>
      </w:r>
      <w:r>
        <w:rPr>
          <w:spacing w:val="-5"/>
          <w:u w:val="single"/>
        </w:rPr>
        <w:t> </w:t>
      </w:r>
      <w:r>
        <w:rPr>
          <w:spacing w:val="-4"/>
          <w:u w:val="single"/>
        </w:rPr>
        <w:t>Units</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the</w:t>
      </w:r>
      <w:r>
        <w:rPr>
          <w:spacing w:val="-5"/>
        </w:rPr>
        <w:t> </w:t>
      </w:r>
      <w:r>
        <w:rPr/>
        <w:t>University</w:t>
      </w:r>
      <w:r>
        <w:rPr>
          <w:spacing w:val="-4"/>
        </w:rPr>
        <w:t> </w:t>
      </w:r>
      <w:r>
        <w:rPr/>
        <w:t>of</w:t>
      </w:r>
      <w:r>
        <w:rPr>
          <w:spacing w:val="-3"/>
        </w:rPr>
        <w:t> </w:t>
      </w:r>
      <w:r>
        <w:rPr/>
        <w:t>Florida’s</w:t>
      </w:r>
      <w:r>
        <w:rPr>
          <w:spacing w:val="-2"/>
        </w:rPr>
        <w:t> </w:t>
      </w:r>
      <w:r>
        <w:rPr/>
        <w:t>component</w:t>
      </w:r>
      <w:r>
        <w:rPr>
          <w:spacing w:val="-4"/>
        </w:rPr>
        <w:t> </w:t>
      </w:r>
      <w:r>
        <w:rPr/>
        <w:t>units.</w:t>
      </w:r>
      <w:r>
        <w:rPr>
          <w:spacing w:val="-3"/>
        </w:rPr>
        <w:t> </w:t>
      </w:r>
      <w:r>
        <w:rPr/>
        <w:t>In</w:t>
      </w:r>
      <w:r>
        <w:rPr>
          <w:spacing w:val="-2"/>
        </w:rPr>
        <w:t> </w:t>
      </w:r>
      <w:r>
        <w:rPr/>
        <w:t>this</w:t>
      </w:r>
      <w:r>
        <w:rPr>
          <w:spacing w:val="-2"/>
        </w:rPr>
        <w:t> </w:t>
      </w:r>
      <w:r>
        <w:rPr/>
        <w:t>fund, monies deposited are designated by the component units (outside third parties) as to purpose or department.</w:t>
      </w:r>
    </w:p>
    <w:p>
      <w:pPr>
        <w:pStyle w:val="BodyText"/>
        <w:spacing w:before="1"/>
        <w:ind w:left="0"/>
      </w:pPr>
    </w:p>
    <w:p>
      <w:pPr>
        <w:pStyle w:val="Heading2"/>
        <w:tabs>
          <w:tab w:pos="1079" w:val="left" w:leader="none"/>
        </w:tabs>
        <w:rPr>
          <w:u w:val="none"/>
        </w:rPr>
      </w:pPr>
      <w:r>
        <w:rPr>
          <w:spacing w:val="-5"/>
          <w:u w:val="none"/>
        </w:rPr>
        <w:t>173</w:t>
      </w:r>
      <w:r>
        <w:rPr>
          <w:u w:val="none"/>
        </w:rPr>
        <w:tab/>
      </w:r>
      <w:r>
        <w:rPr>
          <w:u w:val="single"/>
        </w:rPr>
        <w:t>PK</w:t>
      </w:r>
      <w:r>
        <w:rPr>
          <w:spacing w:val="-4"/>
          <w:u w:val="single"/>
        </w:rPr>
        <w:t> </w:t>
      </w:r>
      <w:r>
        <w:rPr>
          <w:u w:val="single"/>
        </w:rPr>
        <w:t>Yonge</w:t>
      </w:r>
      <w:r>
        <w:rPr>
          <w:spacing w:val="-4"/>
          <w:u w:val="single"/>
        </w:rPr>
        <w:t> </w:t>
      </w:r>
      <w:r>
        <w:rPr>
          <w:u w:val="single"/>
        </w:rPr>
        <w:t>Research</w:t>
      </w:r>
      <w:r>
        <w:rPr>
          <w:spacing w:val="-3"/>
          <w:u w:val="single"/>
        </w:rPr>
        <w:t> </w:t>
      </w:r>
      <w:r>
        <w:rPr>
          <w:spacing w:val="-2"/>
          <w:u w:val="single"/>
        </w:rPr>
        <w:t>School</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3"/>
        </w:rPr>
        <w:t> </w:t>
      </w:r>
      <w:r>
        <w:rPr/>
        <w:t>State</w:t>
      </w:r>
      <w:r>
        <w:rPr>
          <w:spacing w:val="-3"/>
        </w:rPr>
        <w:t> </w:t>
      </w:r>
      <w:r>
        <w:rPr/>
        <w:t>Appropriations</w:t>
      </w:r>
      <w:r>
        <w:rPr>
          <w:spacing w:val="-2"/>
        </w:rPr>
        <w:t> </w:t>
      </w:r>
      <w:r>
        <w:rPr/>
        <w:t>from</w:t>
      </w:r>
      <w:r>
        <w:rPr>
          <w:spacing w:val="-5"/>
        </w:rPr>
        <w:t> </w:t>
      </w:r>
      <w:r>
        <w:rPr/>
        <w:t>the</w:t>
      </w:r>
      <w:r>
        <w:rPr>
          <w:spacing w:val="-3"/>
        </w:rPr>
        <w:t> </w:t>
      </w:r>
      <w:r>
        <w:rPr/>
        <w:t>Florida</w:t>
      </w:r>
      <w:r>
        <w:rPr>
          <w:spacing w:val="-5"/>
        </w:rPr>
        <w:t> </w:t>
      </w:r>
      <w:r>
        <w:rPr/>
        <w:t>Education</w:t>
      </w:r>
      <w:r>
        <w:rPr>
          <w:spacing w:val="-2"/>
        </w:rPr>
        <w:t> </w:t>
      </w:r>
      <w:r>
        <w:rPr/>
        <w:t>Finance Programs (FEFP) to support P. K. Yonge Developmental Research School.</w:t>
      </w:r>
    </w:p>
    <w:p>
      <w:pPr>
        <w:pStyle w:val="Heading2"/>
        <w:tabs>
          <w:tab w:pos="1079" w:val="left" w:leader="none"/>
        </w:tabs>
        <w:spacing w:before="320"/>
        <w:rPr>
          <w:u w:val="none"/>
        </w:rPr>
      </w:pPr>
      <w:r>
        <w:rPr>
          <w:spacing w:val="-5"/>
          <w:u w:val="none"/>
        </w:rPr>
        <w:t>175</w:t>
      </w:r>
      <w:r>
        <w:rPr>
          <w:u w:val="none"/>
        </w:rPr>
        <w:tab/>
      </w:r>
      <w:r>
        <w:rPr>
          <w:u w:val="single"/>
        </w:rPr>
        <w:t>UF</w:t>
      </w:r>
      <w:r>
        <w:rPr>
          <w:spacing w:val="-3"/>
          <w:u w:val="single"/>
        </w:rPr>
        <w:t> </w:t>
      </w:r>
      <w:r>
        <w:rPr>
          <w:u w:val="single"/>
        </w:rPr>
        <w:t>Strategic</w:t>
      </w:r>
      <w:r>
        <w:rPr>
          <w:spacing w:val="-6"/>
          <w:u w:val="single"/>
        </w:rPr>
        <w:t> </w:t>
      </w:r>
      <w:r>
        <w:rPr>
          <w:u w:val="single"/>
        </w:rPr>
        <w:t>Fund</w:t>
      </w:r>
      <w:r>
        <w:rPr>
          <w:spacing w:val="-6"/>
          <w:u w:val="single"/>
        </w:rPr>
        <w:t> </w:t>
      </w:r>
      <w:r>
        <w:rPr>
          <w:u w:val="single"/>
        </w:rPr>
        <w:t>Non-</w:t>
      </w:r>
      <w:r>
        <w:rPr>
          <w:spacing w:val="-2"/>
          <w:u w:val="single"/>
        </w:rPr>
        <w:t>Research</w:t>
      </w:r>
    </w:p>
    <w:p>
      <w:pPr>
        <w:pStyle w:val="BodyText"/>
        <w:spacing w:line="242" w:lineRule="auto"/>
        <w:ind w:left="107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used</w:t>
      </w:r>
      <w:r>
        <w:rPr>
          <w:spacing w:val="-4"/>
        </w:rPr>
        <w:t> </w:t>
      </w:r>
      <w:r>
        <w:rPr/>
        <w:t>to</w:t>
      </w:r>
      <w:r>
        <w:rPr>
          <w:spacing w:val="-4"/>
        </w:rPr>
        <w:t> </w:t>
      </w:r>
      <w:r>
        <w:rPr/>
        <w:t>support</w:t>
      </w:r>
      <w:r>
        <w:rPr>
          <w:spacing w:val="-4"/>
        </w:rPr>
        <w:t> </w:t>
      </w:r>
      <w:r>
        <w:rPr/>
        <w:t>strategic</w:t>
      </w:r>
      <w:r>
        <w:rPr>
          <w:spacing w:val="-5"/>
        </w:rPr>
        <w:t> </w:t>
      </w:r>
      <w:r>
        <w:rPr/>
        <w:t>initiatives</w:t>
      </w:r>
      <w:r>
        <w:rPr>
          <w:spacing w:val="-4"/>
        </w:rPr>
        <w:t> </w:t>
      </w:r>
      <w:r>
        <w:rPr/>
        <w:t>that</w:t>
      </w:r>
      <w:r>
        <w:rPr>
          <w:spacing w:val="-4"/>
        </w:rPr>
        <w:t> </w:t>
      </w:r>
      <w:r>
        <w:rPr/>
        <w:t>are</w:t>
      </w:r>
      <w:r>
        <w:rPr>
          <w:spacing w:val="-3"/>
        </w:rPr>
        <w:t> </w:t>
      </w:r>
      <w:r>
        <w:rPr/>
        <w:t>not</w:t>
      </w:r>
      <w:r>
        <w:rPr>
          <w:spacing w:val="-1"/>
        </w:rPr>
        <w:t> </w:t>
      </w:r>
      <w:r>
        <w:rPr/>
        <w:t>restricted</w:t>
      </w:r>
      <w:r>
        <w:rPr>
          <w:spacing w:val="-2"/>
        </w:rPr>
        <w:t> </w:t>
      </w:r>
      <w:r>
        <w:rPr/>
        <w:t>for research. See fund 275 for strategic fund for research related programs.</w:t>
      </w:r>
    </w:p>
    <w:p>
      <w:pPr>
        <w:pStyle w:val="Heading2"/>
        <w:tabs>
          <w:tab w:pos="1079" w:val="left" w:leader="none"/>
        </w:tabs>
        <w:spacing w:line="322" w:lineRule="exact" w:before="317"/>
        <w:ind w:left="359"/>
        <w:rPr>
          <w:u w:val="none"/>
        </w:rPr>
      </w:pPr>
      <w:r>
        <w:rPr>
          <w:spacing w:val="-5"/>
          <w:u w:val="none"/>
        </w:rPr>
        <w:t>179</w:t>
      </w:r>
      <w:r>
        <w:rPr>
          <w:u w:val="none"/>
        </w:rPr>
        <w:tab/>
      </w:r>
      <w:r>
        <w:rPr>
          <w:u w:val="single"/>
        </w:rPr>
        <w:t>Other</w:t>
      </w:r>
      <w:r>
        <w:rPr>
          <w:spacing w:val="-8"/>
          <w:u w:val="single"/>
        </w:rPr>
        <w:t> </w:t>
      </w:r>
      <w:r>
        <w:rPr>
          <w:u w:val="single"/>
        </w:rPr>
        <w:t>Miscellaneous</w:t>
      </w:r>
      <w:r>
        <w:rPr>
          <w:spacing w:val="-7"/>
          <w:u w:val="single"/>
        </w:rPr>
        <w:t> </w:t>
      </w:r>
      <w:r>
        <w:rPr>
          <w:u w:val="single"/>
        </w:rPr>
        <w:t>Incidental</w:t>
      </w:r>
      <w:r>
        <w:rPr>
          <w:spacing w:val="-7"/>
          <w:u w:val="single"/>
        </w:rPr>
        <w:t> </w:t>
      </w:r>
      <w:r>
        <w:rPr>
          <w:spacing w:val="-4"/>
          <w:u w:val="single"/>
        </w:rPr>
        <w:t>Fund</w:t>
      </w:r>
    </w:p>
    <w:p>
      <w:pPr>
        <w:pStyle w:val="BodyText"/>
        <w:ind w:left="1079" w:right="352"/>
      </w:pPr>
      <w:r>
        <w:rPr/>
        <w:t>Monies in this fund come from various incidental revenues, but no standard funding source.</w:t>
      </w:r>
      <w:r>
        <w:rPr>
          <w:spacing w:val="-4"/>
        </w:rPr>
        <w:t> </w:t>
      </w:r>
      <w:r>
        <w:rPr/>
        <w:t>It</w:t>
      </w:r>
      <w:r>
        <w:rPr>
          <w:spacing w:val="-3"/>
        </w:rPr>
        <w:t> </w:t>
      </w:r>
      <w:r>
        <w:rPr/>
        <w:t>is</w:t>
      </w:r>
      <w:r>
        <w:rPr>
          <w:spacing w:val="-3"/>
        </w:rPr>
        <w:t> </w:t>
      </w:r>
      <w:r>
        <w:rPr/>
        <w:t>primarily</w:t>
      </w:r>
      <w:r>
        <w:rPr>
          <w:spacing w:val="-5"/>
        </w:rPr>
        <w:t> </w:t>
      </w:r>
      <w:r>
        <w:rPr/>
        <w:t>used</w:t>
      </w:r>
      <w:r>
        <w:rPr>
          <w:spacing w:val="-3"/>
        </w:rPr>
        <w:t> </w:t>
      </w:r>
      <w:r>
        <w:rPr/>
        <w:t>for</w:t>
      </w:r>
      <w:r>
        <w:rPr>
          <w:spacing w:val="-4"/>
        </w:rPr>
        <w:t> </w:t>
      </w:r>
      <w:r>
        <w:rPr/>
        <w:t>non-research</w:t>
      </w:r>
      <w:r>
        <w:rPr>
          <w:spacing w:val="-3"/>
        </w:rPr>
        <w:t> </w:t>
      </w:r>
      <w:r>
        <w:rPr/>
        <w:t>miscellaneous</w:t>
      </w:r>
      <w:r>
        <w:rPr>
          <w:spacing w:val="-3"/>
        </w:rPr>
        <w:t> </w:t>
      </w:r>
      <w:r>
        <w:rPr/>
        <w:t>revenues</w:t>
      </w:r>
      <w:r>
        <w:rPr>
          <w:spacing w:val="-3"/>
        </w:rPr>
        <w:t> </w:t>
      </w:r>
      <w:r>
        <w:rPr/>
        <w:t>and</w:t>
      </w:r>
      <w:r>
        <w:rPr>
          <w:spacing w:val="-3"/>
        </w:rPr>
        <w:t> </w:t>
      </w:r>
      <w:r>
        <w:rPr/>
        <w:t>follow</w:t>
      </w:r>
      <w:r>
        <w:rPr>
          <w:spacing w:val="-3"/>
        </w:rPr>
        <w:t> </w:t>
      </w:r>
      <w:r>
        <w:rPr/>
        <w:t>the</w:t>
      </w:r>
      <w:r>
        <w:rPr>
          <w:spacing w:val="-4"/>
        </w:rPr>
        <w:t> </w:t>
      </w:r>
      <w:r>
        <w:rPr/>
        <w:t>same guidelines as Auxiliary funds.</w:t>
      </w:r>
    </w:p>
    <w:p>
      <w:pPr>
        <w:pStyle w:val="BodyText"/>
        <w:ind w:left="0"/>
      </w:pPr>
    </w:p>
    <w:p>
      <w:pPr>
        <w:pStyle w:val="Heading2"/>
        <w:numPr>
          <w:ilvl w:val="0"/>
          <w:numId w:val="11"/>
        </w:numPr>
        <w:tabs>
          <w:tab w:pos="1079" w:val="left" w:leader="none"/>
        </w:tabs>
        <w:spacing w:line="240" w:lineRule="auto" w:before="0" w:after="0"/>
        <w:ind w:left="1079" w:right="0" w:hanging="720"/>
        <w:jc w:val="left"/>
        <w:rPr>
          <w:u w:val="none"/>
        </w:rPr>
      </w:pPr>
      <w:r>
        <w:rPr>
          <w:u w:val="single"/>
        </w:rPr>
        <w:t>IFAS-Experimental</w:t>
      </w:r>
      <w:r>
        <w:rPr>
          <w:spacing w:val="-9"/>
          <w:u w:val="single"/>
        </w:rPr>
        <w:t> </w:t>
      </w:r>
      <w:r>
        <w:rPr>
          <w:u w:val="single"/>
        </w:rPr>
        <w:t>Station</w:t>
      </w:r>
      <w:r>
        <w:rPr>
          <w:spacing w:val="-10"/>
          <w:u w:val="single"/>
        </w:rPr>
        <w:t> </w:t>
      </w:r>
      <w:r>
        <w:rPr>
          <w:u w:val="single"/>
        </w:rPr>
        <w:t>Incidental</w:t>
      </w:r>
      <w:r>
        <w:rPr>
          <w:spacing w:val="-7"/>
          <w:u w:val="single"/>
        </w:rPr>
        <w:t> </w:t>
      </w:r>
      <w:r>
        <w:rPr>
          <w:u w:val="single"/>
        </w:rPr>
        <w:t>Trust</w:t>
      </w:r>
      <w:r>
        <w:rPr>
          <w:spacing w:val="-9"/>
          <w:u w:val="single"/>
        </w:rPr>
        <w:t> </w:t>
      </w:r>
      <w:r>
        <w:rPr>
          <w:spacing w:val="-4"/>
          <w:u w:val="single"/>
        </w:rPr>
        <w:t>Fund</w:t>
      </w:r>
    </w:p>
    <w:p>
      <w:pPr>
        <w:pStyle w:val="BodyText"/>
        <w:ind w:left="1079" w:right="1105"/>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revenues</w:t>
      </w:r>
      <w:r>
        <w:rPr>
          <w:spacing w:val="-2"/>
        </w:rPr>
        <w:t> </w:t>
      </w:r>
      <w:r>
        <w:rPr/>
        <w:t>from</w:t>
      </w:r>
      <w:r>
        <w:rPr>
          <w:spacing w:val="-3"/>
        </w:rPr>
        <w:t> </w:t>
      </w:r>
      <w:r>
        <w:rPr/>
        <w:t>the</w:t>
      </w:r>
      <w:r>
        <w:rPr>
          <w:spacing w:val="-5"/>
        </w:rPr>
        <w:t> </w:t>
      </w:r>
      <w:r>
        <w:rPr/>
        <w:t>sale</w:t>
      </w:r>
      <w:r>
        <w:rPr>
          <w:spacing w:val="-3"/>
        </w:rPr>
        <w:t> </w:t>
      </w:r>
      <w:r>
        <w:rPr/>
        <w:t>of</w:t>
      </w:r>
      <w:r>
        <w:rPr>
          <w:spacing w:val="-3"/>
        </w:rPr>
        <w:t> </w:t>
      </w:r>
      <w:r>
        <w:rPr/>
        <w:t>research</w:t>
      </w:r>
      <w:r>
        <w:rPr>
          <w:spacing w:val="-4"/>
        </w:rPr>
        <w:t> </w:t>
      </w:r>
      <w:r>
        <w:rPr/>
        <w:t>bi-products</w:t>
      </w:r>
      <w:r>
        <w:rPr>
          <w:spacing w:val="-4"/>
        </w:rPr>
        <w:t> </w:t>
      </w:r>
      <w:r>
        <w:rPr/>
        <w:t>of</w:t>
      </w:r>
      <w:r>
        <w:rPr>
          <w:spacing w:val="-3"/>
        </w:rPr>
        <w:t> </w:t>
      </w:r>
      <w:r>
        <w:rPr/>
        <w:t>IFAS. This fund is established to support the research function of UF/IFAS.</w:t>
      </w:r>
    </w:p>
    <w:p>
      <w:pPr>
        <w:pStyle w:val="Heading2"/>
        <w:numPr>
          <w:ilvl w:val="0"/>
          <w:numId w:val="11"/>
        </w:numPr>
        <w:tabs>
          <w:tab w:pos="1079" w:val="left" w:leader="none"/>
        </w:tabs>
        <w:spacing w:line="240" w:lineRule="auto" w:before="321" w:after="0"/>
        <w:ind w:left="1079" w:right="0" w:hanging="719"/>
        <w:jc w:val="left"/>
        <w:rPr>
          <w:u w:val="none"/>
        </w:rPr>
      </w:pPr>
      <w:r>
        <w:rPr>
          <w:u w:val="single"/>
        </w:rPr>
        <w:t>IFAS-Extension</w:t>
      </w:r>
      <w:r>
        <w:rPr>
          <w:spacing w:val="-11"/>
          <w:u w:val="single"/>
        </w:rPr>
        <w:t> </w:t>
      </w:r>
      <w:r>
        <w:rPr>
          <w:u w:val="single"/>
        </w:rPr>
        <w:t>Service</w:t>
      </w:r>
      <w:r>
        <w:rPr>
          <w:spacing w:val="-8"/>
          <w:u w:val="single"/>
        </w:rPr>
        <w:t> </w:t>
      </w:r>
      <w:r>
        <w:rPr>
          <w:u w:val="single"/>
        </w:rPr>
        <w:t>Incidental</w:t>
      </w:r>
      <w:r>
        <w:rPr>
          <w:spacing w:val="-7"/>
          <w:u w:val="single"/>
        </w:rPr>
        <w:t> </w:t>
      </w:r>
      <w:r>
        <w:rPr>
          <w:u w:val="single"/>
        </w:rPr>
        <w:t>Trust</w:t>
      </w:r>
      <w:r>
        <w:rPr>
          <w:spacing w:val="-8"/>
          <w:u w:val="single"/>
        </w:rPr>
        <w:t> </w:t>
      </w:r>
      <w:r>
        <w:rPr>
          <w:spacing w:val="-4"/>
          <w:u w:val="single"/>
        </w:rPr>
        <w:t>Fund</w:t>
      </w:r>
    </w:p>
    <w:p>
      <w:pPr>
        <w:pStyle w:val="BodyText"/>
        <w:ind w:right="446"/>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revenues</w:t>
      </w:r>
      <w:r>
        <w:rPr>
          <w:spacing w:val="-2"/>
        </w:rPr>
        <w:t> </w:t>
      </w:r>
      <w:r>
        <w:rPr/>
        <w:t>from</w:t>
      </w:r>
      <w:r>
        <w:rPr>
          <w:spacing w:val="-3"/>
        </w:rPr>
        <w:t> </w:t>
      </w:r>
      <w:r>
        <w:rPr/>
        <w:t>the</w:t>
      </w:r>
      <w:r>
        <w:rPr>
          <w:spacing w:val="-5"/>
        </w:rPr>
        <w:t> </w:t>
      </w:r>
      <w:r>
        <w:rPr/>
        <w:t>sale</w:t>
      </w:r>
      <w:r>
        <w:rPr>
          <w:spacing w:val="-3"/>
        </w:rPr>
        <w:t> </w:t>
      </w:r>
      <w:r>
        <w:rPr/>
        <w:t>of</w:t>
      </w:r>
      <w:r>
        <w:rPr>
          <w:spacing w:val="-5"/>
        </w:rPr>
        <w:t> </w:t>
      </w:r>
      <w:r>
        <w:rPr/>
        <w:t>Extension</w:t>
      </w:r>
      <w:r>
        <w:rPr>
          <w:spacing w:val="-4"/>
        </w:rPr>
        <w:t> </w:t>
      </w:r>
      <w:r>
        <w:rPr/>
        <w:t>publications,</w:t>
      </w:r>
      <w:r>
        <w:rPr>
          <w:spacing w:val="-3"/>
        </w:rPr>
        <w:t> </w:t>
      </w:r>
      <w:r>
        <w:rPr/>
        <w:t>products,</w:t>
      </w:r>
      <w:r>
        <w:rPr>
          <w:spacing w:val="-3"/>
        </w:rPr>
        <w:t> </w:t>
      </w:r>
      <w:r>
        <w:rPr/>
        <w:t>and programs, and fees for diagnostic testing. This fund is established to support the Extension function of UF/IFAS.</w:t>
      </w:r>
    </w:p>
    <w:p>
      <w:pPr>
        <w:pStyle w:val="BodyText"/>
        <w:spacing w:after="0"/>
        <w:sectPr>
          <w:pgSz w:w="12240" w:h="15840"/>
          <w:pgMar w:header="0" w:footer="672" w:top="660" w:bottom="860" w:left="360" w:right="360"/>
        </w:sectPr>
      </w:pPr>
    </w:p>
    <w:p>
      <w:pPr>
        <w:pStyle w:val="Heading2"/>
        <w:numPr>
          <w:ilvl w:val="0"/>
          <w:numId w:val="11"/>
        </w:numPr>
        <w:tabs>
          <w:tab w:pos="1079" w:val="left" w:leader="none"/>
        </w:tabs>
        <w:spacing w:line="322" w:lineRule="exact" w:before="60" w:after="0"/>
        <w:ind w:left="1079" w:right="0" w:hanging="719"/>
        <w:jc w:val="left"/>
        <w:rPr>
          <w:u w:val="none"/>
        </w:rPr>
      </w:pPr>
      <w:r>
        <w:rPr>
          <w:u w:val="single"/>
        </w:rPr>
        <w:t>IFAS-Educational</w:t>
      </w:r>
      <w:r>
        <w:rPr>
          <w:spacing w:val="-9"/>
          <w:u w:val="single"/>
        </w:rPr>
        <w:t> </w:t>
      </w:r>
      <w:r>
        <w:rPr>
          <w:u w:val="single"/>
        </w:rPr>
        <w:t>Business</w:t>
      </w:r>
      <w:r>
        <w:rPr>
          <w:spacing w:val="-9"/>
          <w:u w:val="single"/>
        </w:rPr>
        <w:t> </w:t>
      </w:r>
      <w:r>
        <w:rPr>
          <w:spacing w:val="-2"/>
          <w:u w:val="single"/>
        </w:rPr>
        <w:t>Activities</w:t>
      </w:r>
    </w:p>
    <w:p>
      <w:pPr>
        <w:pStyle w:val="BodyText"/>
        <w:ind w:right="352"/>
      </w:pPr>
      <w:r>
        <w:rPr/>
        <w:t>Monies in this fund are generated from the sale of goods and services from approved IFAS</w:t>
      </w:r>
      <w:r>
        <w:rPr>
          <w:spacing w:val="-3"/>
        </w:rPr>
        <w:t> </w:t>
      </w:r>
      <w:r>
        <w:rPr/>
        <w:t>Fee-for-Service</w:t>
      </w:r>
      <w:r>
        <w:rPr>
          <w:spacing w:val="-5"/>
        </w:rPr>
        <w:t> </w:t>
      </w:r>
      <w:r>
        <w:rPr/>
        <w:t>Activities</w:t>
      </w:r>
      <w:r>
        <w:rPr>
          <w:spacing w:val="-2"/>
        </w:rPr>
        <w:t> </w:t>
      </w:r>
      <w:r>
        <w:rPr/>
        <w:t>(FSEA)</w:t>
      </w:r>
      <w:r>
        <w:rPr>
          <w:spacing w:val="-3"/>
        </w:rPr>
        <w:t> </w:t>
      </w:r>
      <w:r>
        <w:rPr/>
        <w:t>including</w:t>
      </w:r>
      <w:r>
        <w:rPr>
          <w:spacing w:val="-4"/>
        </w:rPr>
        <w:t> </w:t>
      </w:r>
      <w:r>
        <w:rPr/>
        <w:t>UFarm,</w:t>
      </w:r>
      <w:r>
        <w:rPr>
          <w:spacing w:val="-6"/>
        </w:rPr>
        <w:t> </w:t>
      </w:r>
      <w:r>
        <w:rPr/>
        <w:t>lab</w:t>
      </w:r>
      <w:r>
        <w:rPr>
          <w:spacing w:val="-4"/>
        </w:rPr>
        <w:t> </w:t>
      </w:r>
      <w:r>
        <w:rPr/>
        <w:t>testing,</w:t>
      </w:r>
      <w:r>
        <w:rPr>
          <w:spacing w:val="-3"/>
        </w:rPr>
        <w:t> </w:t>
      </w:r>
      <w:r>
        <w:rPr/>
        <w:t>and</w:t>
      </w:r>
      <w:r>
        <w:rPr>
          <w:spacing w:val="-4"/>
        </w:rPr>
        <w:t> </w:t>
      </w:r>
      <w:r>
        <w:rPr/>
        <w:t>space</w:t>
      </w:r>
      <w:r>
        <w:rPr>
          <w:spacing w:val="-3"/>
        </w:rPr>
        <w:t> </w:t>
      </w:r>
      <w:r>
        <w:rPr/>
        <w:t>rentals. The Educational Business Activities must operate in support of the UF/ IFAS mission.</w:t>
      </w:r>
    </w:p>
    <w:p>
      <w:pPr>
        <w:pStyle w:val="BodyText"/>
        <w:ind w:left="0"/>
      </w:pPr>
    </w:p>
    <w:p>
      <w:pPr>
        <w:pStyle w:val="Heading2"/>
        <w:numPr>
          <w:ilvl w:val="0"/>
          <w:numId w:val="12"/>
        </w:numPr>
        <w:tabs>
          <w:tab w:pos="1080" w:val="left" w:leader="none"/>
        </w:tabs>
        <w:spacing w:line="240" w:lineRule="auto" w:before="0" w:after="0"/>
        <w:ind w:left="1080" w:right="0" w:hanging="720"/>
        <w:jc w:val="left"/>
        <w:rPr>
          <w:u w:val="none"/>
        </w:rPr>
      </w:pPr>
      <w:r>
        <w:rPr>
          <w:u w:val="single"/>
        </w:rPr>
        <w:t>HSC-Incidental</w:t>
      </w:r>
      <w:r>
        <w:rPr>
          <w:spacing w:val="-8"/>
          <w:u w:val="single"/>
        </w:rPr>
        <w:t> </w:t>
      </w:r>
      <w:r>
        <w:rPr>
          <w:u w:val="single"/>
        </w:rPr>
        <w:t>Trust</w:t>
      </w:r>
      <w:r>
        <w:rPr>
          <w:spacing w:val="-8"/>
          <w:u w:val="single"/>
        </w:rPr>
        <w:t> </w:t>
      </w:r>
      <w:r>
        <w:rPr>
          <w:spacing w:val="-4"/>
          <w:u w:val="single"/>
        </w:rPr>
        <w:t>Fund</w:t>
      </w:r>
    </w:p>
    <w:p>
      <w:pPr>
        <w:pStyle w:val="BodyText"/>
        <w:ind w:left="1079"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incidental</w:t>
      </w:r>
      <w:r>
        <w:rPr>
          <w:spacing w:val="-2"/>
        </w:rPr>
        <w:t> </w:t>
      </w:r>
      <w:r>
        <w:rPr/>
        <w:t>revenues</w:t>
      </w:r>
      <w:r>
        <w:rPr>
          <w:spacing w:val="-2"/>
        </w:rPr>
        <w:t> </w:t>
      </w:r>
      <w:r>
        <w:rPr/>
        <w:t>for</w:t>
      </w:r>
      <w:r>
        <w:rPr>
          <w:spacing w:val="-3"/>
        </w:rPr>
        <w:t> </w:t>
      </w:r>
      <w:r>
        <w:rPr/>
        <w:t>the</w:t>
      </w:r>
      <w:r>
        <w:rPr>
          <w:spacing w:val="-5"/>
        </w:rPr>
        <w:t> </w:t>
      </w:r>
      <w:r>
        <w:rPr/>
        <w:t>Health</w:t>
      </w:r>
      <w:r>
        <w:rPr>
          <w:spacing w:val="-2"/>
        </w:rPr>
        <w:t> </w:t>
      </w:r>
      <w:r>
        <w:rPr/>
        <w:t>Science</w:t>
      </w:r>
      <w:r>
        <w:rPr>
          <w:spacing w:val="-3"/>
        </w:rPr>
        <w:t> </w:t>
      </w:r>
      <w:r>
        <w:rPr/>
        <w:t>Center</w:t>
      </w:r>
      <w:r>
        <w:rPr>
          <w:spacing w:val="-2"/>
        </w:rPr>
        <w:t> </w:t>
      </w:r>
      <w:r>
        <w:rPr/>
        <w:t>(HSC). The monies within the fund are managed by various departments within the Health Science Center.</w:t>
      </w:r>
    </w:p>
    <w:p>
      <w:pPr>
        <w:pStyle w:val="BodyText"/>
        <w:spacing w:before="1"/>
        <w:ind w:left="0"/>
      </w:pPr>
    </w:p>
    <w:p>
      <w:pPr>
        <w:pStyle w:val="Heading2"/>
        <w:numPr>
          <w:ilvl w:val="0"/>
          <w:numId w:val="12"/>
        </w:numPr>
        <w:tabs>
          <w:tab w:pos="1079" w:val="left" w:leader="none"/>
        </w:tabs>
        <w:spacing w:line="240" w:lineRule="auto" w:before="0" w:after="0"/>
        <w:ind w:left="1079" w:right="0" w:hanging="719"/>
        <w:jc w:val="left"/>
        <w:rPr>
          <w:u w:val="none"/>
        </w:rPr>
      </w:pPr>
      <w:r>
        <w:rPr>
          <w:u w:val="single"/>
        </w:rPr>
        <w:t>HSC-Operations</w:t>
      </w:r>
      <w:r>
        <w:rPr>
          <w:spacing w:val="-9"/>
          <w:u w:val="single"/>
        </w:rPr>
        <w:t> </w:t>
      </w:r>
      <w:r>
        <w:rPr>
          <w:u w:val="single"/>
        </w:rPr>
        <w:t>and</w:t>
      </w:r>
      <w:r>
        <w:rPr>
          <w:spacing w:val="-7"/>
          <w:u w:val="single"/>
        </w:rPr>
        <w:t> </w:t>
      </w:r>
      <w:r>
        <w:rPr>
          <w:u w:val="single"/>
        </w:rPr>
        <w:t>Maintenance</w:t>
      </w:r>
      <w:r>
        <w:rPr>
          <w:spacing w:val="-7"/>
          <w:u w:val="single"/>
        </w:rPr>
        <w:t> </w:t>
      </w:r>
      <w:r>
        <w:rPr>
          <w:u w:val="single"/>
        </w:rPr>
        <w:t>Trust</w:t>
      </w:r>
      <w:r>
        <w:rPr>
          <w:spacing w:val="-7"/>
          <w:u w:val="single"/>
        </w:rPr>
        <w:t> </w:t>
      </w:r>
      <w:r>
        <w:rPr>
          <w:spacing w:val="-4"/>
          <w:u w:val="single"/>
        </w:rPr>
        <w:t>Fund</w:t>
      </w:r>
    </w:p>
    <w:p>
      <w:pPr>
        <w:pStyle w:val="BodyText"/>
        <w:ind w:right="446"/>
      </w:pPr>
      <w:r>
        <w:rPr/>
        <w:t>Monies</w:t>
      </w:r>
      <w:r>
        <w:rPr>
          <w:spacing w:val="-3"/>
        </w:rPr>
        <w:t> </w:t>
      </w:r>
      <w:r>
        <w:rPr/>
        <w:t>in</w:t>
      </w:r>
      <w:r>
        <w:rPr>
          <w:spacing w:val="-3"/>
        </w:rPr>
        <w:t> </w:t>
      </w:r>
      <w:r>
        <w:rPr/>
        <w:t>this</w:t>
      </w:r>
      <w:r>
        <w:rPr>
          <w:spacing w:val="-3"/>
        </w:rPr>
        <w:t> </w:t>
      </w:r>
      <w:r>
        <w:rPr/>
        <w:t>fund</w:t>
      </w:r>
      <w:r>
        <w:rPr>
          <w:spacing w:val="-2"/>
        </w:rPr>
        <w:t> </w:t>
      </w:r>
      <w:r>
        <w:rPr/>
        <w:t>come</w:t>
      </w:r>
      <w:r>
        <w:rPr>
          <w:spacing w:val="-4"/>
        </w:rPr>
        <w:t> </w:t>
      </w:r>
      <w:r>
        <w:rPr/>
        <w:t>from</w:t>
      </w:r>
      <w:r>
        <w:rPr>
          <w:spacing w:val="-6"/>
        </w:rPr>
        <w:t> </w:t>
      </w:r>
      <w:r>
        <w:rPr/>
        <w:t>hospital</w:t>
      </w:r>
      <w:r>
        <w:rPr>
          <w:spacing w:val="-3"/>
        </w:rPr>
        <w:t> </w:t>
      </w:r>
      <w:r>
        <w:rPr/>
        <w:t>related</w:t>
      </w:r>
      <w:r>
        <w:rPr>
          <w:spacing w:val="-3"/>
        </w:rPr>
        <w:t> </w:t>
      </w:r>
      <w:r>
        <w:rPr/>
        <w:t>revenues</w:t>
      </w:r>
      <w:r>
        <w:rPr>
          <w:spacing w:val="-3"/>
        </w:rPr>
        <w:t> </w:t>
      </w:r>
      <w:r>
        <w:rPr/>
        <w:t>and</w:t>
      </w:r>
      <w:r>
        <w:rPr>
          <w:spacing w:val="-3"/>
        </w:rPr>
        <w:t> </w:t>
      </w:r>
      <w:r>
        <w:rPr/>
        <w:t>expenses</w:t>
      </w:r>
      <w:r>
        <w:rPr>
          <w:spacing w:val="-3"/>
        </w:rPr>
        <w:t> </w:t>
      </w:r>
      <w:r>
        <w:rPr/>
        <w:t>of</w:t>
      </w:r>
      <w:r>
        <w:rPr>
          <w:spacing w:val="-4"/>
        </w:rPr>
        <w:t> </w:t>
      </w:r>
      <w:r>
        <w:rPr/>
        <w:t>the</w:t>
      </w:r>
      <w:r>
        <w:rPr>
          <w:spacing w:val="-4"/>
        </w:rPr>
        <w:t> </w:t>
      </w:r>
      <w:r>
        <w:rPr/>
        <w:t>University of Florida College of Veterinary Medicine. All physician-related revenue is retained in the Florida Veterinary Medicine Faculty Association, Inc. (FVMFA).</w:t>
      </w:r>
    </w:p>
    <w:p>
      <w:pPr>
        <w:pStyle w:val="Heading2"/>
        <w:tabs>
          <w:tab w:pos="1079" w:val="left" w:leader="none"/>
        </w:tabs>
        <w:spacing w:line="322" w:lineRule="exact" w:before="275"/>
        <w:rPr>
          <w:u w:val="none"/>
        </w:rPr>
      </w:pPr>
      <w:r>
        <w:rPr>
          <w:spacing w:val="-5"/>
          <w:u w:val="none"/>
        </w:rPr>
        <w:t>191</w:t>
      </w:r>
      <w:r>
        <w:rPr>
          <w:u w:val="none"/>
        </w:rPr>
        <w:tab/>
      </w:r>
      <w:r>
        <w:rPr>
          <w:u w:val="single"/>
        </w:rPr>
        <w:t>Student</w:t>
      </w:r>
      <w:r>
        <w:rPr>
          <w:spacing w:val="-8"/>
          <w:u w:val="single"/>
        </w:rPr>
        <w:t> </w:t>
      </w:r>
      <w:r>
        <w:rPr>
          <w:u w:val="single"/>
        </w:rPr>
        <w:t>Government</w:t>
      </w:r>
      <w:r>
        <w:rPr>
          <w:spacing w:val="-8"/>
          <w:u w:val="single"/>
        </w:rPr>
        <w:t> </w:t>
      </w:r>
      <w:r>
        <w:rPr>
          <w:spacing w:val="-4"/>
          <w:u w:val="single"/>
        </w:rPr>
        <w:t>Funds</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the</w:t>
      </w:r>
      <w:r>
        <w:rPr>
          <w:spacing w:val="-3"/>
        </w:rPr>
        <w:t> </w:t>
      </w:r>
      <w:r>
        <w:rPr/>
        <w:t>collection</w:t>
      </w:r>
      <w:r>
        <w:rPr>
          <w:spacing w:val="-4"/>
        </w:rPr>
        <w:t> </w:t>
      </w:r>
      <w:r>
        <w:rPr/>
        <w:t>of</w:t>
      </w:r>
      <w:r>
        <w:rPr>
          <w:spacing w:val="-5"/>
        </w:rPr>
        <w:t> </w:t>
      </w:r>
      <w:r>
        <w:rPr/>
        <w:t>Activity</w:t>
      </w:r>
      <w:r>
        <w:rPr>
          <w:spacing w:val="-2"/>
        </w:rPr>
        <w:t> </w:t>
      </w:r>
      <w:r>
        <w:rPr/>
        <w:t>and</w:t>
      </w:r>
      <w:r>
        <w:rPr>
          <w:spacing w:val="-2"/>
        </w:rPr>
        <w:t> </w:t>
      </w:r>
      <w:r>
        <w:rPr/>
        <w:t>Service</w:t>
      </w:r>
      <w:r>
        <w:rPr>
          <w:spacing w:val="-2"/>
        </w:rPr>
        <w:t> </w:t>
      </w:r>
      <w:r>
        <w:rPr/>
        <w:t>fees.</w:t>
      </w:r>
      <w:r>
        <w:rPr>
          <w:spacing w:val="-3"/>
        </w:rPr>
        <w:t> </w:t>
      </w:r>
      <w:r>
        <w:rPr/>
        <w:t>The</w:t>
      </w:r>
      <w:r>
        <w:rPr>
          <w:spacing w:val="-3"/>
        </w:rPr>
        <w:t> </w:t>
      </w:r>
      <w:r>
        <w:rPr/>
        <w:t>funds</w:t>
      </w:r>
      <w:r>
        <w:rPr>
          <w:spacing w:val="-2"/>
        </w:rPr>
        <w:t> </w:t>
      </w:r>
      <w:r>
        <w:rPr/>
        <w:t>are expended for student activities.</w:t>
      </w:r>
    </w:p>
    <w:p>
      <w:pPr>
        <w:pStyle w:val="BodyText"/>
        <w:ind w:left="0"/>
      </w:pPr>
    </w:p>
    <w:p>
      <w:pPr>
        <w:pStyle w:val="Heading2"/>
        <w:tabs>
          <w:tab w:pos="1079" w:val="left" w:leader="none"/>
        </w:tabs>
        <w:spacing w:line="322" w:lineRule="exact" w:before="1"/>
        <w:rPr>
          <w:u w:val="none"/>
        </w:rPr>
      </w:pPr>
      <w:r>
        <w:rPr>
          <w:spacing w:val="-5"/>
          <w:u w:val="none"/>
        </w:rPr>
        <w:t>192</w:t>
      </w:r>
      <w:r>
        <w:rPr>
          <w:u w:val="none"/>
        </w:rPr>
        <w:tab/>
      </w:r>
      <w:r>
        <w:rPr>
          <w:u w:val="single"/>
        </w:rPr>
        <w:t>Concession</w:t>
      </w:r>
      <w:r>
        <w:rPr>
          <w:spacing w:val="-8"/>
          <w:u w:val="single"/>
        </w:rPr>
        <w:t> </w:t>
      </w:r>
      <w:r>
        <w:rPr>
          <w:spacing w:val="-2"/>
          <w:u w:val="single"/>
        </w:rPr>
        <w:t>Funds</w:t>
      </w:r>
    </w:p>
    <w:p>
      <w:pPr>
        <w:pStyle w:val="BodyText"/>
        <w:ind w:right="352"/>
      </w:pPr>
      <w:r>
        <w:rPr/>
        <w:t>Monies in this fund come from revenues generated from vending machine sales and commissions</w:t>
      </w:r>
      <w:r>
        <w:rPr>
          <w:spacing w:val="-2"/>
        </w:rPr>
        <w:t> </w:t>
      </w:r>
      <w:r>
        <w:rPr/>
        <w:t>that</w:t>
      </w:r>
      <w:r>
        <w:rPr>
          <w:spacing w:val="-2"/>
        </w:rPr>
        <w:t> </w:t>
      </w:r>
      <w:r>
        <w:rPr/>
        <w:t>are</w:t>
      </w:r>
      <w:r>
        <w:rPr>
          <w:spacing w:val="-5"/>
        </w:rPr>
        <w:t> </w:t>
      </w:r>
      <w:r>
        <w:rPr/>
        <w:t>expended</w:t>
      </w:r>
      <w:r>
        <w:rPr>
          <w:spacing w:val="-2"/>
        </w:rPr>
        <w:t> </w:t>
      </w:r>
      <w:r>
        <w:rPr/>
        <w:t>for</w:t>
      </w:r>
      <w:r>
        <w:rPr>
          <w:spacing w:val="-3"/>
        </w:rPr>
        <w:t> </w:t>
      </w:r>
      <w:r>
        <w:rPr/>
        <w:t>the</w:t>
      </w:r>
      <w:r>
        <w:rPr>
          <w:spacing w:val="-5"/>
        </w:rPr>
        <w:t> </w:t>
      </w:r>
      <w:r>
        <w:rPr/>
        <w:t>benefit</w:t>
      </w:r>
      <w:r>
        <w:rPr>
          <w:spacing w:val="-2"/>
        </w:rPr>
        <w:t> </w:t>
      </w:r>
      <w:r>
        <w:rPr/>
        <w:t>of</w:t>
      </w:r>
      <w:r>
        <w:rPr>
          <w:spacing w:val="-5"/>
        </w:rPr>
        <w:t> </w:t>
      </w:r>
      <w:r>
        <w:rPr/>
        <w:t>the</w:t>
      </w:r>
      <w:r>
        <w:rPr>
          <w:spacing w:val="-5"/>
        </w:rPr>
        <w:t> </w:t>
      </w:r>
      <w:r>
        <w:rPr/>
        <w:t>University</w:t>
      </w:r>
      <w:r>
        <w:rPr>
          <w:spacing w:val="-4"/>
        </w:rPr>
        <w:t> </w:t>
      </w:r>
      <w:r>
        <w:rPr/>
        <w:t>in</w:t>
      </w:r>
      <w:r>
        <w:rPr>
          <w:spacing w:val="-2"/>
        </w:rPr>
        <w:t> </w:t>
      </w:r>
      <w:r>
        <w:rPr/>
        <w:t>accordance</w:t>
      </w:r>
      <w:r>
        <w:rPr>
          <w:spacing w:val="-5"/>
        </w:rPr>
        <w:t> </w:t>
      </w:r>
      <w:r>
        <w:rPr/>
        <w:t>with</w:t>
      </w:r>
      <w:r>
        <w:rPr>
          <w:spacing w:val="-2"/>
        </w:rPr>
        <w:t> </w:t>
      </w:r>
      <w:r>
        <w:rPr/>
        <w:t>a budget established by the Provost and Vice-President for Business Affairs.</w:t>
      </w:r>
    </w:p>
    <w:p>
      <w:pPr>
        <w:pStyle w:val="BodyText"/>
        <w:ind w:left="0"/>
      </w:pPr>
    </w:p>
    <w:p>
      <w:pPr>
        <w:pStyle w:val="Heading2"/>
        <w:tabs>
          <w:tab w:pos="1079" w:val="left" w:leader="none"/>
        </w:tabs>
        <w:rPr>
          <w:u w:val="none"/>
        </w:rPr>
      </w:pPr>
      <w:r>
        <w:rPr>
          <w:spacing w:val="-5"/>
          <w:u w:val="none"/>
        </w:rPr>
        <w:t>193</w:t>
      </w:r>
      <w:r>
        <w:rPr>
          <w:u w:val="none"/>
        </w:rPr>
        <w:tab/>
      </w:r>
      <w:r>
        <w:rPr>
          <w:u w:val="single"/>
        </w:rPr>
        <w:t>Cashiers</w:t>
      </w:r>
      <w:r>
        <w:rPr>
          <w:spacing w:val="-7"/>
          <w:u w:val="single"/>
        </w:rPr>
        <w:t> </w:t>
      </w:r>
      <w:r>
        <w:rPr>
          <w:spacing w:val="-4"/>
          <w:u w:val="single"/>
        </w:rPr>
        <w:t>Fund</w:t>
      </w:r>
    </w:p>
    <w:p>
      <w:pPr>
        <w:pStyle w:val="BodyText"/>
        <w:ind w:right="352"/>
      </w:pPr>
      <w:r>
        <w:rPr/>
        <w:t>This</w:t>
      </w:r>
      <w:r>
        <w:rPr>
          <w:spacing w:val="-2"/>
        </w:rPr>
        <w:t> </w:t>
      </w:r>
      <w:r>
        <w:rPr/>
        <w:t>fund</w:t>
      </w:r>
      <w:r>
        <w:rPr>
          <w:spacing w:val="-2"/>
        </w:rPr>
        <w:t> </w:t>
      </w:r>
      <w:r>
        <w:rPr/>
        <w:t>is</w:t>
      </w:r>
      <w:r>
        <w:rPr>
          <w:spacing w:val="-2"/>
        </w:rPr>
        <w:t> </w:t>
      </w:r>
      <w:r>
        <w:rPr/>
        <w:t>established</w:t>
      </w:r>
      <w:r>
        <w:rPr>
          <w:spacing w:val="-2"/>
        </w:rPr>
        <w:t> </w:t>
      </w:r>
      <w:r>
        <w:rPr/>
        <w:t>for</w:t>
      </w:r>
      <w:r>
        <w:rPr>
          <w:spacing w:val="-3"/>
        </w:rPr>
        <w:t> </w:t>
      </w:r>
      <w:r>
        <w:rPr/>
        <w:t>the</w:t>
      </w:r>
      <w:r>
        <w:rPr>
          <w:spacing w:val="-3"/>
        </w:rPr>
        <w:t> </w:t>
      </w:r>
      <w:r>
        <w:rPr/>
        <w:t>purpose</w:t>
      </w:r>
      <w:r>
        <w:rPr>
          <w:spacing w:val="-5"/>
        </w:rPr>
        <w:t> </w:t>
      </w:r>
      <w:r>
        <w:rPr/>
        <w:t>of</w:t>
      </w:r>
      <w:r>
        <w:rPr>
          <w:spacing w:val="-5"/>
        </w:rPr>
        <w:t> </w:t>
      </w:r>
      <w:r>
        <w:rPr/>
        <w:t>keeping</w:t>
      </w:r>
      <w:r>
        <w:rPr>
          <w:spacing w:val="-2"/>
        </w:rPr>
        <w:t> </w:t>
      </w:r>
      <w:r>
        <w:rPr/>
        <w:t>daily</w:t>
      </w:r>
      <w:r>
        <w:rPr>
          <w:spacing w:val="-4"/>
        </w:rPr>
        <w:t> </w:t>
      </w:r>
      <w:r>
        <w:rPr/>
        <w:t>operating</w:t>
      </w:r>
      <w:r>
        <w:rPr>
          <w:spacing w:val="-2"/>
        </w:rPr>
        <w:t> </w:t>
      </w:r>
      <w:r>
        <w:rPr/>
        <w:t>cash</w:t>
      </w:r>
      <w:r>
        <w:rPr>
          <w:spacing w:val="-2"/>
        </w:rPr>
        <w:t> </w:t>
      </w:r>
      <w:r>
        <w:rPr/>
        <w:t>on</w:t>
      </w:r>
      <w:r>
        <w:rPr>
          <w:spacing w:val="-2"/>
        </w:rPr>
        <w:t> </w:t>
      </w:r>
      <w:r>
        <w:rPr/>
        <w:t>hand</w:t>
      </w:r>
      <w:r>
        <w:rPr>
          <w:spacing w:val="-1"/>
        </w:rPr>
        <w:t> </w:t>
      </w:r>
      <w:r>
        <w:rPr/>
        <w:t>and</w:t>
      </w:r>
      <w:r>
        <w:rPr>
          <w:spacing w:val="-4"/>
        </w:rPr>
        <w:t> </w:t>
      </w:r>
      <w:r>
        <w:rPr/>
        <w:t>is only used by Treasury Management.</w:t>
      </w:r>
    </w:p>
    <w:p>
      <w:pPr>
        <w:pStyle w:val="Heading2"/>
        <w:tabs>
          <w:tab w:pos="1079" w:val="left" w:leader="none"/>
        </w:tabs>
        <w:spacing w:before="321"/>
        <w:rPr>
          <w:u w:val="none"/>
        </w:rPr>
      </w:pPr>
      <w:r>
        <w:rPr>
          <w:spacing w:val="-5"/>
          <w:u w:val="none"/>
        </w:rPr>
        <w:t>194</w:t>
      </w:r>
      <w:r>
        <w:rPr>
          <w:u w:val="none"/>
        </w:rPr>
        <w:tab/>
      </w:r>
      <w:r>
        <w:rPr>
          <w:u w:val="single"/>
        </w:rPr>
        <w:t>Payroll</w:t>
      </w:r>
      <w:r>
        <w:rPr>
          <w:spacing w:val="-8"/>
          <w:u w:val="single"/>
        </w:rPr>
        <w:t> </w:t>
      </w:r>
      <w:r>
        <w:rPr>
          <w:spacing w:val="-4"/>
          <w:u w:val="single"/>
        </w:rPr>
        <w:t>Fund</w:t>
      </w:r>
    </w:p>
    <w:p>
      <w:pPr>
        <w:pStyle w:val="BodyText"/>
        <w:ind w:right="446"/>
      </w:pPr>
      <w:r>
        <w:rPr/>
        <w:t>A fund used by University Payroll and University Tax Services, to process payroll and tax</w:t>
      </w:r>
      <w:r>
        <w:rPr>
          <w:spacing w:val="-2"/>
        </w:rPr>
        <w:t> </w:t>
      </w:r>
      <w:r>
        <w:rPr/>
        <w:t>related</w:t>
      </w:r>
      <w:r>
        <w:rPr>
          <w:spacing w:val="-2"/>
        </w:rPr>
        <w:t> </w:t>
      </w:r>
      <w:r>
        <w:rPr/>
        <w:t>transactions.</w:t>
      </w:r>
      <w:r>
        <w:rPr>
          <w:spacing w:val="-3"/>
        </w:rPr>
        <w:t> </w:t>
      </w:r>
      <w:r>
        <w:rPr/>
        <w:t>Such</w:t>
      </w:r>
      <w:r>
        <w:rPr>
          <w:spacing w:val="-2"/>
        </w:rPr>
        <w:t> </w:t>
      </w:r>
      <w:r>
        <w:rPr/>
        <w:t>transactions</w:t>
      </w:r>
      <w:r>
        <w:rPr>
          <w:spacing w:val="-4"/>
        </w:rPr>
        <w:t> </w:t>
      </w:r>
      <w:r>
        <w:rPr/>
        <w:t>include</w:t>
      </w:r>
      <w:r>
        <w:rPr>
          <w:spacing w:val="-2"/>
        </w:rPr>
        <w:t> </w:t>
      </w:r>
      <w:r>
        <w:rPr/>
        <w:t>the</w:t>
      </w:r>
      <w:r>
        <w:rPr>
          <w:spacing w:val="-3"/>
        </w:rPr>
        <w:t> </w:t>
      </w:r>
      <w:r>
        <w:rPr/>
        <w:t>fringe</w:t>
      </w:r>
      <w:r>
        <w:rPr>
          <w:spacing w:val="-5"/>
        </w:rPr>
        <w:t> </w:t>
      </w:r>
      <w:r>
        <w:rPr/>
        <w:t>benefit</w:t>
      </w:r>
      <w:r>
        <w:rPr>
          <w:spacing w:val="-2"/>
        </w:rPr>
        <w:t> </w:t>
      </w:r>
      <w:r>
        <w:rPr/>
        <w:t>pool,</w:t>
      </w:r>
      <w:r>
        <w:rPr>
          <w:spacing w:val="-3"/>
        </w:rPr>
        <w:t> </w:t>
      </w:r>
      <w:r>
        <w:rPr/>
        <w:t>initial</w:t>
      </w:r>
      <w:r>
        <w:rPr>
          <w:spacing w:val="-4"/>
        </w:rPr>
        <w:t> </w:t>
      </w:r>
      <w:r>
        <w:rPr/>
        <w:t>deposits of wage refunds from employees, various payroll deductions, and tax refunds.</w:t>
      </w:r>
    </w:p>
    <w:p>
      <w:pPr>
        <w:pStyle w:val="BodyText"/>
        <w:ind w:left="0"/>
      </w:pPr>
    </w:p>
    <w:p>
      <w:pPr>
        <w:pStyle w:val="Heading2"/>
        <w:tabs>
          <w:tab w:pos="1079" w:val="left" w:leader="none"/>
        </w:tabs>
        <w:rPr>
          <w:u w:val="none"/>
        </w:rPr>
      </w:pPr>
      <w:r>
        <w:rPr>
          <w:spacing w:val="-5"/>
          <w:u w:val="none"/>
        </w:rPr>
        <w:t>195</w:t>
      </w:r>
      <w:r>
        <w:rPr>
          <w:u w:val="none"/>
        </w:rPr>
        <w:tab/>
      </w:r>
      <w:r>
        <w:rPr>
          <w:u w:val="single"/>
        </w:rPr>
        <w:t>Institutional</w:t>
      </w:r>
      <w:r>
        <w:rPr>
          <w:spacing w:val="-11"/>
          <w:u w:val="single"/>
        </w:rPr>
        <w:t> </w:t>
      </w:r>
      <w:r>
        <w:rPr>
          <w:spacing w:val="-4"/>
          <w:u w:val="single"/>
        </w:rPr>
        <w:t>Fund</w:t>
      </w:r>
    </w:p>
    <w:p>
      <w:pPr>
        <w:pStyle w:val="BodyText"/>
        <w:ind w:left="1079" w:right="352"/>
      </w:pPr>
      <w:r>
        <w:rPr/>
        <w:t>This</w:t>
      </w:r>
      <w:r>
        <w:rPr>
          <w:spacing w:val="-3"/>
        </w:rPr>
        <w:t> </w:t>
      </w:r>
      <w:r>
        <w:rPr/>
        <w:t>fund</w:t>
      </w:r>
      <w:r>
        <w:rPr>
          <w:spacing w:val="-3"/>
        </w:rPr>
        <w:t> </w:t>
      </w:r>
      <w:r>
        <w:rPr/>
        <w:t>is</w:t>
      </w:r>
      <w:r>
        <w:rPr>
          <w:spacing w:val="-3"/>
        </w:rPr>
        <w:t> </w:t>
      </w:r>
      <w:r>
        <w:rPr/>
        <w:t>established</w:t>
      </w:r>
      <w:r>
        <w:rPr>
          <w:spacing w:val="-3"/>
        </w:rPr>
        <w:t> </w:t>
      </w:r>
      <w:r>
        <w:rPr/>
        <w:t>for</w:t>
      </w:r>
      <w:r>
        <w:rPr>
          <w:spacing w:val="-4"/>
        </w:rPr>
        <w:t> </w:t>
      </w:r>
      <w:r>
        <w:rPr/>
        <w:t>the</w:t>
      </w:r>
      <w:r>
        <w:rPr>
          <w:spacing w:val="-4"/>
        </w:rPr>
        <w:t> </w:t>
      </w:r>
      <w:r>
        <w:rPr/>
        <w:t>purpose</w:t>
      </w:r>
      <w:r>
        <w:rPr>
          <w:spacing w:val="-6"/>
        </w:rPr>
        <w:t> </w:t>
      </w:r>
      <w:r>
        <w:rPr/>
        <w:t>of</w:t>
      </w:r>
      <w:r>
        <w:rPr>
          <w:spacing w:val="-6"/>
        </w:rPr>
        <w:t> </w:t>
      </w:r>
      <w:r>
        <w:rPr/>
        <w:t>maintaining</w:t>
      </w:r>
      <w:r>
        <w:rPr>
          <w:spacing w:val="-3"/>
        </w:rPr>
        <w:t> </w:t>
      </w:r>
      <w:r>
        <w:rPr/>
        <w:t>institutional</w:t>
      </w:r>
      <w:r>
        <w:rPr>
          <w:spacing w:val="-5"/>
        </w:rPr>
        <w:t> </w:t>
      </w:r>
      <w:r>
        <w:rPr/>
        <w:t>activities</w:t>
      </w:r>
      <w:r>
        <w:rPr>
          <w:spacing w:val="-3"/>
        </w:rPr>
        <w:t> </w:t>
      </w:r>
      <w:r>
        <w:rPr/>
        <w:t>managed</w:t>
      </w:r>
      <w:r>
        <w:rPr>
          <w:spacing w:val="-3"/>
        </w:rPr>
        <w:t> </w:t>
      </w:r>
      <w:r>
        <w:rPr/>
        <w:t>by core offices of Finance and Accounting (core office use only).</w:t>
      </w:r>
    </w:p>
    <w:p>
      <w:pPr>
        <w:pStyle w:val="BodyText"/>
        <w:spacing w:before="1"/>
        <w:ind w:left="0"/>
      </w:pPr>
    </w:p>
    <w:p>
      <w:pPr>
        <w:pStyle w:val="Heading2"/>
        <w:tabs>
          <w:tab w:pos="1080" w:val="left" w:leader="none"/>
        </w:tabs>
        <w:spacing w:line="322" w:lineRule="exact"/>
        <w:rPr>
          <w:u w:val="none"/>
        </w:rPr>
      </w:pPr>
      <w:r>
        <w:rPr>
          <w:spacing w:val="-5"/>
          <w:u w:val="none"/>
        </w:rPr>
        <w:t>196</w:t>
      </w:r>
      <w:r>
        <w:rPr>
          <w:u w:val="none"/>
        </w:rPr>
        <w:tab/>
      </w:r>
      <w:r>
        <w:rPr>
          <w:u w:val="single"/>
        </w:rPr>
        <w:t>Technology</w:t>
      </w:r>
      <w:r>
        <w:rPr>
          <w:spacing w:val="-7"/>
          <w:u w:val="single"/>
        </w:rPr>
        <w:t> </w:t>
      </w:r>
      <w:r>
        <w:rPr>
          <w:u w:val="single"/>
        </w:rPr>
        <w:t>Fee</w:t>
      </w:r>
      <w:r>
        <w:rPr>
          <w:spacing w:val="-5"/>
          <w:u w:val="single"/>
        </w:rPr>
        <w:t> </w:t>
      </w:r>
      <w:r>
        <w:rPr>
          <w:spacing w:val="-4"/>
          <w:u w:val="single"/>
        </w:rPr>
        <w:t>Fund</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deposit</w:t>
      </w:r>
      <w:r>
        <w:rPr>
          <w:spacing w:val="-2"/>
        </w:rPr>
        <w:t> </w:t>
      </w:r>
      <w:r>
        <w:rPr/>
        <w:t>revenues</w:t>
      </w:r>
      <w:r>
        <w:rPr>
          <w:spacing w:val="-2"/>
        </w:rPr>
        <w:t> </w:t>
      </w:r>
      <w:r>
        <w:rPr/>
        <w:t>from</w:t>
      </w:r>
      <w:r>
        <w:rPr>
          <w:spacing w:val="-3"/>
        </w:rPr>
        <w:t> </w:t>
      </w:r>
      <w:r>
        <w:rPr/>
        <w:t>a</w:t>
      </w:r>
      <w:r>
        <w:rPr>
          <w:spacing w:val="-3"/>
        </w:rPr>
        <w:t> </w:t>
      </w:r>
      <w:r>
        <w:rPr/>
        <w:t>technology</w:t>
      </w:r>
      <w:r>
        <w:rPr>
          <w:spacing w:val="-2"/>
        </w:rPr>
        <w:t> </w:t>
      </w:r>
      <w:r>
        <w:rPr/>
        <w:t>fee</w:t>
      </w:r>
      <w:r>
        <w:rPr>
          <w:spacing w:val="-5"/>
        </w:rPr>
        <w:t> </w:t>
      </w:r>
      <w:r>
        <w:rPr/>
        <w:t>of</w:t>
      </w:r>
      <w:r>
        <w:rPr>
          <w:spacing w:val="-3"/>
        </w:rPr>
        <w:t> </w:t>
      </w:r>
      <w:r>
        <w:rPr/>
        <w:t>up</w:t>
      </w:r>
      <w:r>
        <w:rPr>
          <w:spacing w:val="-2"/>
        </w:rPr>
        <w:t> </w:t>
      </w:r>
      <w:r>
        <w:rPr/>
        <w:t>to</w:t>
      </w:r>
      <w:r>
        <w:rPr>
          <w:spacing w:val="-4"/>
        </w:rPr>
        <w:t> </w:t>
      </w:r>
      <w:r>
        <w:rPr/>
        <w:t>5</w:t>
      </w:r>
      <w:r>
        <w:rPr>
          <w:spacing w:val="-2"/>
        </w:rPr>
        <w:t> </w:t>
      </w:r>
      <w:r>
        <w:rPr/>
        <w:t>percent</w:t>
      </w:r>
      <w:r>
        <w:rPr>
          <w:spacing w:val="-4"/>
        </w:rPr>
        <w:t> </w:t>
      </w:r>
      <w:r>
        <w:rPr/>
        <w:t>of</w:t>
      </w:r>
      <w:r>
        <w:rPr>
          <w:spacing w:val="-3"/>
        </w:rPr>
        <w:t> </w:t>
      </w:r>
      <w:r>
        <w:rPr/>
        <w:t>the tuition per credit hour. The revenue from this fee shall be used to enhance instructional technology resources for students and faculty.</w:t>
      </w:r>
    </w:p>
    <w:p>
      <w:pPr>
        <w:pStyle w:val="BodyText"/>
        <w:spacing w:after="0"/>
        <w:sectPr>
          <w:pgSz w:w="12240" w:h="15840"/>
          <w:pgMar w:header="0" w:footer="672" w:top="660" w:bottom="940" w:left="360" w:right="360"/>
        </w:sectPr>
      </w:pPr>
    </w:p>
    <w:p>
      <w:pPr>
        <w:pStyle w:val="Heading2"/>
        <w:tabs>
          <w:tab w:pos="1079" w:val="left" w:leader="none"/>
        </w:tabs>
        <w:spacing w:line="322" w:lineRule="exact" w:before="60"/>
        <w:rPr>
          <w:u w:val="none"/>
        </w:rPr>
      </w:pPr>
      <w:r>
        <w:rPr>
          <w:spacing w:val="-5"/>
          <w:u w:val="none"/>
        </w:rPr>
        <w:t>199</w:t>
      </w:r>
      <w:r>
        <w:rPr>
          <w:u w:val="none"/>
        </w:rPr>
        <w:tab/>
      </w:r>
      <w:r>
        <w:rPr>
          <w:u w:val="single"/>
        </w:rPr>
        <w:t>Institutional</w:t>
      </w:r>
      <w:r>
        <w:rPr>
          <w:spacing w:val="-9"/>
          <w:u w:val="single"/>
        </w:rPr>
        <w:t> </w:t>
      </w:r>
      <w:r>
        <w:rPr>
          <w:spacing w:val="-2"/>
          <w:u w:val="single"/>
        </w:rPr>
        <w:t>Investments</w:t>
      </w:r>
    </w:p>
    <w:p>
      <w:pPr>
        <w:pStyle w:val="BodyText"/>
        <w:ind w:right="352" w:hanging="1"/>
      </w:pPr>
      <w:r>
        <w:rPr/>
        <w:t>This</w:t>
      </w:r>
      <w:r>
        <w:rPr>
          <w:spacing w:val="-3"/>
        </w:rPr>
        <w:t> </w:t>
      </w:r>
      <w:r>
        <w:rPr/>
        <w:t>fund</w:t>
      </w:r>
      <w:r>
        <w:rPr>
          <w:spacing w:val="-3"/>
        </w:rPr>
        <w:t> </w:t>
      </w:r>
      <w:r>
        <w:rPr/>
        <w:t>is</w:t>
      </w:r>
      <w:r>
        <w:rPr>
          <w:spacing w:val="-3"/>
        </w:rPr>
        <w:t> </w:t>
      </w:r>
      <w:r>
        <w:rPr/>
        <w:t>to</w:t>
      </w:r>
      <w:r>
        <w:rPr>
          <w:spacing w:val="-3"/>
        </w:rPr>
        <w:t> </w:t>
      </w:r>
      <w:r>
        <w:rPr/>
        <w:t>be</w:t>
      </w:r>
      <w:r>
        <w:rPr>
          <w:spacing w:val="-6"/>
        </w:rPr>
        <w:t> </w:t>
      </w:r>
      <w:r>
        <w:rPr/>
        <w:t>used</w:t>
      </w:r>
      <w:r>
        <w:rPr>
          <w:spacing w:val="-3"/>
        </w:rPr>
        <w:t> </w:t>
      </w:r>
      <w:r>
        <w:rPr/>
        <w:t>ONLY</w:t>
      </w:r>
      <w:r>
        <w:rPr>
          <w:spacing w:val="-5"/>
        </w:rPr>
        <w:t> </w:t>
      </w:r>
      <w:r>
        <w:rPr/>
        <w:t>by</w:t>
      </w:r>
      <w:r>
        <w:rPr>
          <w:spacing w:val="-3"/>
        </w:rPr>
        <w:t> </w:t>
      </w:r>
      <w:r>
        <w:rPr/>
        <w:t>Treasury</w:t>
      </w:r>
      <w:r>
        <w:rPr>
          <w:spacing w:val="-5"/>
        </w:rPr>
        <w:t> </w:t>
      </w:r>
      <w:r>
        <w:rPr/>
        <w:t>Management</w:t>
      </w:r>
      <w:r>
        <w:rPr>
          <w:spacing w:val="-4"/>
        </w:rPr>
        <w:t> </w:t>
      </w:r>
      <w:r>
        <w:rPr/>
        <w:t>to</w:t>
      </w:r>
      <w:r>
        <w:rPr>
          <w:spacing w:val="-3"/>
        </w:rPr>
        <w:t> </w:t>
      </w:r>
      <w:r>
        <w:rPr/>
        <w:t>record</w:t>
      </w:r>
      <w:r>
        <w:rPr>
          <w:spacing w:val="-3"/>
        </w:rPr>
        <w:t> </w:t>
      </w:r>
      <w:r>
        <w:rPr/>
        <w:t>institutional </w:t>
      </w:r>
      <w:r>
        <w:rPr>
          <w:spacing w:val="-2"/>
        </w:rPr>
        <w:t>investments.</w:t>
      </w:r>
    </w:p>
    <w:p>
      <w:pPr>
        <w:pStyle w:val="BodyText"/>
        <w:spacing w:before="1"/>
        <w:ind w:left="0"/>
      </w:pPr>
    </w:p>
    <w:p>
      <w:pPr>
        <w:pStyle w:val="Heading2"/>
        <w:tabs>
          <w:tab w:pos="1080" w:val="left" w:leader="none"/>
        </w:tabs>
        <w:spacing w:line="322" w:lineRule="exact"/>
        <w:rPr>
          <w:u w:val="none"/>
        </w:rPr>
      </w:pPr>
      <w:r>
        <w:rPr>
          <w:spacing w:val="-5"/>
          <w:u w:val="none"/>
        </w:rPr>
        <w:t>201</w:t>
      </w:r>
      <w:r>
        <w:rPr>
          <w:u w:val="none"/>
        </w:rPr>
        <w:tab/>
      </w:r>
      <w:r>
        <w:rPr>
          <w:u w:val="single"/>
        </w:rPr>
        <w:t>C&amp;G-Federal</w:t>
      </w:r>
      <w:r>
        <w:rPr>
          <w:spacing w:val="-7"/>
          <w:u w:val="single"/>
        </w:rPr>
        <w:t> </w:t>
      </w:r>
      <w:r>
        <w:rPr>
          <w:u w:val="single"/>
        </w:rPr>
        <w:t>Restricted</w:t>
      </w:r>
      <w:r>
        <w:rPr>
          <w:spacing w:val="-10"/>
          <w:u w:val="single"/>
        </w:rPr>
        <w:t> </w:t>
      </w:r>
      <w:r>
        <w:rPr>
          <w:spacing w:val="-4"/>
          <w:u w:val="single"/>
        </w:rPr>
        <w:t>Fund</w:t>
      </w:r>
    </w:p>
    <w:p>
      <w:pPr>
        <w:pStyle w:val="BodyText"/>
        <w:ind w:right="352"/>
      </w:pPr>
      <w:r>
        <w:rPr/>
        <w:t>Monies in this fund relate to Federal and Federal flow thru sponsored programs. These funds</w:t>
      </w:r>
      <w:r>
        <w:rPr>
          <w:spacing w:val="-2"/>
        </w:rPr>
        <w:t> </w:t>
      </w:r>
      <w:r>
        <w:rPr/>
        <w:t>are</w:t>
      </w:r>
      <w:r>
        <w:rPr>
          <w:spacing w:val="-3"/>
        </w:rPr>
        <w:t> </w:t>
      </w:r>
      <w:r>
        <w:rPr/>
        <w:t>restricted</w:t>
      </w:r>
      <w:r>
        <w:rPr>
          <w:spacing w:val="-2"/>
        </w:rPr>
        <w:t> </w:t>
      </w:r>
      <w:r>
        <w:rPr/>
        <w:t>and</w:t>
      </w:r>
      <w:r>
        <w:rPr>
          <w:spacing w:val="-2"/>
        </w:rPr>
        <w:t> </w:t>
      </w:r>
      <w:r>
        <w:rPr/>
        <w:t>are</w:t>
      </w:r>
      <w:r>
        <w:rPr>
          <w:spacing w:val="-3"/>
        </w:rPr>
        <w:t> </w:t>
      </w:r>
      <w:r>
        <w:rPr/>
        <w:t>to</w:t>
      </w:r>
      <w:r>
        <w:rPr>
          <w:spacing w:val="-2"/>
        </w:rPr>
        <w:t> </w:t>
      </w:r>
      <w:r>
        <w:rPr/>
        <w:t>be</w:t>
      </w:r>
      <w:r>
        <w:rPr>
          <w:spacing w:val="-3"/>
        </w:rPr>
        <w:t> </w:t>
      </w:r>
      <w:r>
        <w:rPr/>
        <w:t>used</w:t>
      </w:r>
      <w:r>
        <w:rPr>
          <w:spacing w:val="-2"/>
        </w:rPr>
        <w:t> </w:t>
      </w:r>
      <w:r>
        <w:rPr/>
        <w:t>for</w:t>
      </w:r>
      <w:r>
        <w:rPr>
          <w:spacing w:val="-5"/>
        </w:rPr>
        <w:t> </w:t>
      </w:r>
      <w:r>
        <w:rPr/>
        <w:t>research,</w:t>
      </w:r>
      <w:r>
        <w:rPr>
          <w:spacing w:val="-6"/>
        </w:rPr>
        <w:t> </w:t>
      </w:r>
      <w:r>
        <w:rPr/>
        <w:t>training,</w:t>
      </w:r>
      <w:r>
        <w:rPr>
          <w:spacing w:val="-3"/>
        </w:rPr>
        <w:t> </w:t>
      </w:r>
      <w:r>
        <w:rPr/>
        <w:t>or</w:t>
      </w:r>
      <w:r>
        <w:rPr>
          <w:spacing w:val="-3"/>
        </w:rPr>
        <w:t> </w:t>
      </w:r>
      <w:r>
        <w:rPr/>
        <w:t>other</w:t>
      </w:r>
      <w:r>
        <w:rPr>
          <w:spacing w:val="-5"/>
        </w:rPr>
        <w:t> </w:t>
      </w:r>
      <w:r>
        <w:rPr/>
        <w:t>sponsored</w:t>
      </w:r>
      <w:r>
        <w:rPr>
          <w:spacing w:val="-2"/>
        </w:rPr>
        <w:t> </w:t>
      </w:r>
      <w:r>
        <w:rPr/>
        <w:t>activities, as directed by the sponsor.</w:t>
      </w:r>
    </w:p>
    <w:p>
      <w:pPr>
        <w:pStyle w:val="Heading2"/>
        <w:spacing w:before="320"/>
        <w:ind w:left="359"/>
        <w:jc w:val="both"/>
        <w:rPr>
          <w:u w:val="none"/>
        </w:rPr>
      </w:pPr>
      <w:r>
        <w:rPr>
          <w:u w:val="none"/>
        </w:rPr>
        <w:t>209</w:t>
      </w:r>
      <w:r>
        <w:rPr>
          <w:spacing w:val="74"/>
          <w:u w:val="none"/>
        </w:rPr>
        <w:t>  </w:t>
      </w:r>
      <w:r>
        <w:rPr>
          <w:u w:val="single"/>
        </w:rPr>
        <w:t>C&amp;G-Other</w:t>
      </w:r>
      <w:r>
        <w:rPr>
          <w:spacing w:val="-2"/>
          <w:u w:val="single"/>
        </w:rPr>
        <w:t> </w:t>
      </w:r>
      <w:r>
        <w:rPr>
          <w:u w:val="single"/>
        </w:rPr>
        <w:t>Restricted</w:t>
      </w:r>
      <w:r>
        <w:rPr>
          <w:spacing w:val="-2"/>
          <w:u w:val="single"/>
        </w:rPr>
        <w:t> </w:t>
      </w:r>
      <w:r>
        <w:rPr>
          <w:spacing w:val="-4"/>
          <w:u w:val="single"/>
        </w:rPr>
        <w:t>Funds</w:t>
      </w:r>
    </w:p>
    <w:p>
      <w:pPr>
        <w:pStyle w:val="BodyText"/>
        <w:spacing w:before="2"/>
        <w:ind w:right="681"/>
        <w:jc w:val="both"/>
      </w:pPr>
      <w:r>
        <w:rPr/>
        <w:t>Monies in this fund relate to sponsored programs from State, corporate, and</w:t>
      </w:r>
      <w:r>
        <w:rPr>
          <w:spacing w:val="-1"/>
        </w:rPr>
        <w:t> </w:t>
      </w:r>
      <w:r>
        <w:rPr/>
        <w:t>other non-federal</w:t>
      </w:r>
      <w:r>
        <w:rPr>
          <w:spacing w:val="-4"/>
        </w:rPr>
        <w:t> </w:t>
      </w:r>
      <w:r>
        <w:rPr/>
        <w:t>sources.</w:t>
      </w:r>
      <w:r>
        <w:rPr>
          <w:spacing w:val="-3"/>
        </w:rPr>
        <w:t> </w:t>
      </w:r>
      <w:r>
        <w:rPr/>
        <w:t>These</w:t>
      </w:r>
      <w:r>
        <w:rPr>
          <w:spacing w:val="-3"/>
        </w:rPr>
        <w:t> </w:t>
      </w:r>
      <w:r>
        <w:rPr/>
        <w:t>funds</w:t>
      </w:r>
      <w:r>
        <w:rPr>
          <w:spacing w:val="-2"/>
        </w:rPr>
        <w:t> </w:t>
      </w:r>
      <w:r>
        <w:rPr/>
        <w:t>are</w:t>
      </w:r>
      <w:r>
        <w:rPr>
          <w:spacing w:val="-3"/>
        </w:rPr>
        <w:t> </w:t>
      </w:r>
      <w:r>
        <w:rPr/>
        <w:t>restricted</w:t>
      </w:r>
      <w:r>
        <w:rPr>
          <w:spacing w:val="-4"/>
        </w:rPr>
        <w:t> </w:t>
      </w:r>
      <w:r>
        <w:rPr/>
        <w:t>and</w:t>
      </w:r>
      <w:r>
        <w:rPr>
          <w:spacing w:val="-2"/>
        </w:rPr>
        <w:t> </w:t>
      </w:r>
      <w:r>
        <w:rPr/>
        <w:t>are</w:t>
      </w:r>
      <w:r>
        <w:rPr>
          <w:spacing w:val="-3"/>
        </w:rPr>
        <w:t> </w:t>
      </w:r>
      <w:r>
        <w:rPr/>
        <w:t>to</w:t>
      </w:r>
      <w:r>
        <w:rPr>
          <w:spacing w:val="-4"/>
        </w:rPr>
        <w:t> </w:t>
      </w:r>
      <w:r>
        <w:rPr/>
        <w:t>be</w:t>
      </w:r>
      <w:r>
        <w:rPr>
          <w:spacing w:val="-3"/>
        </w:rPr>
        <w:t> </w:t>
      </w:r>
      <w:r>
        <w:rPr/>
        <w:t>used</w:t>
      </w:r>
      <w:r>
        <w:rPr>
          <w:spacing w:val="-2"/>
        </w:rPr>
        <w:t> </w:t>
      </w:r>
      <w:r>
        <w:rPr/>
        <w:t>for</w:t>
      </w:r>
      <w:r>
        <w:rPr>
          <w:spacing w:val="-5"/>
        </w:rPr>
        <w:t> </w:t>
      </w:r>
      <w:r>
        <w:rPr/>
        <w:t>research,</w:t>
      </w:r>
      <w:r>
        <w:rPr>
          <w:spacing w:val="-3"/>
        </w:rPr>
        <w:t> </w:t>
      </w:r>
      <w:r>
        <w:rPr/>
        <w:t>training,</w:t>
      </w:r>
      <w:r>
        <w:rPr>
          <w:spacing w:val="-3"/>
        </w:rPr>
        <w:t> </w:t>
      </w:r>
      <w:r>
        <w:rPr/>
        <w:t>and other sponsored activities, as directed by the sponsor.</w:t>
      </w:r>
    </w:p>
    <w:p>
      <w:pPr>
        <w:pStyle w:val="Heading2"/>
        <w:numPr>
          <w:ilvl w:val="0"/>
          <w:numId w:val="13"/>
        </w:numPr>
        <w:tabs>
          <w:tab w:pos="1079" w:val="left" w:leader="none"/>
        </w:tabs>
        <w:spacing w:line="240" w:lineRule="auto" w:before="320" w:after="0"/>
        <w:ind w:left="1079" w:right="0" w:hanging="719"/>
        <w:jc w:val="left"/>
        <w:rPr>
          <w:u w:val="none"/>
        </w:rPr>
      </w:pPr>
      <w:r>
        <w:rPr>
          <w:u w:val="single"/>
        </w:rPr>
        <w:t>C&amp;G-Returned</w:t>
      </w:r>
      <w:r>
        <w:rPr>
          <w:spacing w:val="-9"/>
          <w:u w:val="single"/>
        </w:rPr>
        <w:t> </w:t>
      </w:r>
      <w:r>
        <w:rPr>
          <w:spacing w:val="-2"/>
          <w:u w:val="single"/>
        </w:rPr>
        <w:t>Overhead</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3"/>
        </w:rPr>
        <w:t> </w:t>
      </w:r>
      <w:r>
        <w:rPr/>
        <w:t>earned</w:t>
      </w:r>
      <w:r>
        <w:rPr>
          <w:spacing w:val="-4"/>
        </w:rPr>
        <w:t> </w:t>
      </w:r>
      <w:r>
        <w:rPr/>
        <w:t>overhead</w:t>
      </w:r>
      <w:r>
        <w:rPr>
          <w:spacing w:val="-2"/>
        </w:rPr>
        <w:t> </w:t>
      </w:r>
      <w:r>
        <w:rPr/>
        <w:t>from</w:t>
      </w:r>
      <w:r>
        <w:rPr>
          <w:spacing w:val="-3"/>
        </w:rPr>
        <w:t> </w:t>
      </w:r>
      <w:r>
        <w:rPr/>
        <w:t>sponsored</w:t>
      </w:r>
      <w:r>
        <w:rPr>
          <w:spacing w:val="-4"/>
        </w:rPr>
        <w:t> </w:t>
      </w:r>
      <w:r>
        <w:rPr/>
        <w:t>projects.</w:t>
      </w:r>
      <w:r>
        <w:rPr>
          <w:spacing w:val="-6"/>
        </w:rPr>
        <w:t> </w:t>
      </w:r>
      <w:r>
        <w:rPr/>
        <w:t>These</w:t>
      </w:r>
      <w:r>
        <w:rPr>
          <w:spacing w:val="-3"/>
        </w:rPr>
        <w:t> </w:t>
      </w:r>
      <w:r>
        <w:rPr/>
        <w:t>funds</w:t>
      </w:r>
      <w:r>
        <w:rPr>
          <w:spacing w:val="-2"/>
        </w:rPr>
        <w:t> </w:t>
      </w:r>
      <w:r>
        <w:rPr/>
        <w:t>are restricted for use in support of other research or training programs, as directed in Section 1004.22(5), Florida Statutes.</w:t>
      </w:r>
    </w:p>
    <w:p>
      <w:pPr>
        <w:pStyle w:val="BodyText"/>
        <w:spacing w:before="1"/>
        <w:ind w:left="0"/>
      </w:pPr>
    </w:p>
    <w:p>
      <w:pPr>
        <w:pStyle w:val="Heading2"/>
        <w:numPr>
          <w:ilvl w:val="0"/>
          <w:numId w:val="13"/>
        </w:numPr>
        <w:tabs>
          <w:tab w:pos="1079" w:val="left" w:leader="none"/>
        </w:tabs>
        <w:spacing w:line="240" w:lineRule="auto" w:before="0" w:after="0"/>
        <w:ind w:left="1079" w:right="0" w:hanging="719"/>
        <w:jc w:val="left"/>
        <w:rPr>
          <w:u w:val="none"/>
        </w:rPr>
      </w:pPr>
      <w:r>
        <w:rPr>
          <w:u w:val="single"/>
        </w:rPr>
        <w:t>C&amp;G-Residual</w:t>
      </w:r>
      <w:r>
        <w:rPr>
          <w:spacing w:val="-13"/>
          <w:u w:val="single"/>
        </w:rPr>
        <w:t> </w:t>
      </w:r>
      <w:r>
        <w:rPr>
          <w:spacing w:val="-4"/>
          <w:u w:val="single"/>
        </w:rPr>
        <w:t>Fund</w:t>
      </w:r>
    </w:p>
    <w:p>
      <w:pPr>
        <w:pStyle w:val="BodyText"/>
        <w:ind w:right="446"/>
      </w:pPr>
      <w:r>
        <w:rPr/>
        <w:t>Monies</w:t>
      </w:r>
      <w:r>
        <w:rPr>
          <w:spacing w:val="-3"/>
        </w:rPr>
        <w:t> </w:t>
      </w:r>
      <w:r>
        <w:rPr/>
        <w:t>from</w:t>
      </w:r>
      <w:r>
        <w:rPr>
          <w:spacing w:val="-4"/>
        </w:rPr>
        <w:t> </w:t>
      </w:r>
      <w:r>
        <w:rPr/>
        <w:t>this</w:t>
      </w:r>
      <w:r>
        <w:rPr>
          <w:spacing w:val="-3"/>
        </w:rPr>
        <w:t> </w:t>
      </w:r>
      <w:r>
        <w:rPr/>
        <w:t>fund</w:t>
      </w:r>
      <w:r>
        <w:rPr>
          <w:spacing w:val="-3"/>
        </w:rPr>
        <w:t> </w:t>
      </w:r>
      <w:r>
        <w:rPr/>
        <w:t>are</w:t>
      </w:r>
      <w:r>
        <w:rPr>
          <w:spacing w:val="-4"/>
        </w:rPr>
        <w:t> </w:t>
      </w:r>
      <w:r>
        <w:rPr/>
        <w:t>residual</w:t>
      </w:r>
      <w:r>
        <w:rPr>
          <w:spacing w:val="-3"/>
        </w:rPr>
        <w:t> </w:t>
      </w:r>
      <w:r>
        <w:rPr/>
        <w:t>monies</w:t>
      </w:r>
      <w:r>
        <w:rPr>
          <w:spacing w:val="-5"/>
        </w:rPr>
        <w:t> </w:t>
      </w:r>
      <w:r>
        <w:rPr/>
        <w:t>from</w:t>
      </w:r>
      <w:r>
        <w:rPr>
          <w:spacing w:val="-4"/>
        </w:rPr>
        <w:t> </w:t>
      </w:r>
      <w:r>
        <w:rPr/>
        <w:t>sponsored</w:t>
      </w:r>
      <w:r>
        <w:rPr>
          <w:spacing w:val="-3"/>
        </w:rPr>
        <w:t> </w:t>
      </w:r>
      <w:r>
        <w:rPr/>
        <w:t>projects.</w:t>
      </w:r>
      <w:r>
        <w:rPr>
          <w:spacing w:val="-4"/>
        </w:rPr>
        <w:t> </w:t>
      </w:r>
      <w:r>
        <w:rPr/>
        <w:t>These</w:t>
      </w:r>
      <w:r>
        <w:rPr>
          <w:spacing w:val="-4"/>
        </w:rPr>
        <w:t> </w:t>
      </w:r>
      <w:r>
        <w:rPr/>
        <w:t>restricted monies are for use in support of other research or training programs, as directed in Section 1004.22(5), Florida Statutes and by UF Policy.</w:t>
      </w:r>
    </w:p>
    <w:p>
      <w:pPr>
        <w:pStyle w:val="BodyText"/>
        <w:ind w:left="0"/>
      </w:pPr>
    </w:p>
    <w:p>
      <w:pPr>
        <w:pStyle w:val="Heading2"/>
        <w:numPr>
          <w:ilvl w:val="0"/>
          <w:numId w:val="13"/>
        </w:numPr>
        <w:tabs>
          <w:tab w:pos="1079" w:val="left" w:leader="none"/>
        </w:tabs>
        <w:spacing w:line="240" w:lineRule="auto" w:before="1" w:after="0"/>
        <w:ind w:left="1079" w:right="0" w:hanging="719"/>
        <w:jc w:val="left"/>
        <w:rPr>
          <w:u w:val="none"/>
        </w:rPr>
      </w:pPr>
      <w:r>
        <w:rPr>
          <w:u w:val="single"/>
        </w:rPr>
        <w:t>UFRF</w:t>
      </w:r>
      <w:r>
        <w:rPr>
          <w:spacing w:val="-5"/>
          <w:u w:val="single"/>
        </w:rPr>
        <w:t> </w:t>
      </w:r>
      <w:r>
        <w:rPr>
          <w:spacing w:val="-2"/>
          <w:u w:val="single"/>
        </w:rPr>
        <w:t>Allocations</w:t>
      </w:r>
    </w:p>
    <w:p>
      <w:pPr>
        <w:pStyle w:val="BodyText"/>
        <w:ind w:left="107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related</w:t>
      </w:r>
      <w:r>
        <w:rPr>
          <w:spacing w:val="-2"/>
        </w:rPr>
        <w:t> </w:t>
      </w:r>
      <w:r>
        <w:rPr/>
        <w:t>to</w:t>
      </w:r>
      <w:r>
        <w:rPr>
          <w:spacing w:val="-2"/>
        </w:rPr>
        <w:t> </w:t>
      </w:r>
      <w:r>
        <w:rPr/>
        <w:t>deposits</w:t>
      </w:r>
      <w:r>
        <w:rPr>
          <w:spacing w:val="-4"/>
        </w:rPr>
        <w:t> </w:t>
      </w:r>
      <w:r>
        <w:rPr/>
        <w:t>from</w:t>
      </w:r>
      <w:r>
        <w:rPr>
          <w:spacing w:val="-5"/>
        </w:rPr>
        <w:t> </w:t>
      </w:r>
      <w:r>
        <w:rPr/>
        <w:t>the</w:t>
      </w:r>
      <w:r>
        <w:rPr>
          <w:spacing w:val="-5"/>
        </w:rPr>
        <w:t> </w:t>
      </w:r>
      <w:r>
        <w:rPr/>
        <w:t>UF</w:t>
      </w:r>
      <w:r>
        <w:rPr>
          <w:spacing w:val="-3"/>
        </w:rPr>
        <w:t> </w:t>
      </w:r>
      <w:r>
        <w:rPr/>
        <w:t>Research</w:t>
      </w:r>
      <w:r>
        <w:rPr>
          <w:spacing w:val="-2"/>
        </w:rPr>
        <w:t> </w:t>
      </w:r>
      <w:r>
        <w:rPr/>
        <w:t>Foundation</w:t>
      </w:r>
      <w:r>
        <w:rPr>
          <w:spacing w:val="-2"/>
        </w:rPr>
        <w:t> </w:t>
      </w:r>
      <w:r>
        <w:rPr/>
        <w:t>(UFRF),</w:t>
      </w:r>
      <w:r>
        <w:rPr>
          <w:spacing w:val="-3"/>
        </w:rPr>
        <w:t> </w:t>
      </w:r>
      <w:r>
        <w:rPr/>
        <w:t>a Direct Support Organization of the University. These funds are restricted and are to be used</w:t>
      </w:r>
      <w:r>
        <w:rPr>
          <w:spacing w:val="-1"/>
        </w:rPr>
        <w:t> </w:t>
      </w:r>
      <w:r>
        <w:rPr/>
        <w:t>in</w:t>
      </w:r>
      <w:r>
        <w:rPr>
          <w:spacing w:val="-1"/>
        </w:rPr>
        <w:t> </w:t>
      </w:r>
      <w:r>
        <w:rPr/>
        <w:t>support</w:t>
      </w:r>
      <w:r>
        <w:rPr>
          <w:spacing w:val="-1"/>
        </w:rPr>
        <w:t> </w:t>
      </w:r>
      <w:r>
        <w:rPr/>
        <w:t>of other research or</w:t>
      </w:r>
      <w:r>
        <w:rPr>
          <w:spacing w:val="-2"/>
        </w:rPr>
        <w:t> </w:t>
      </w:r>
      <w:r>
        <w:rPr/>
        <w:t>sponsored training programs, as directed by UFRF.</w:t>
      </w:r>
    </w:p>
    <w:p>
      <w:pPr>
        <w:pStyle w:val="BodyText"/>
        <w:ind w:left="0"/>
      </w:pPr>
    </w:p>
    <w:p>
      <w:pPr>
        <w:pStyle w:val="Heading2"/>
        <w:numPr>
          <w:ilvl w:val="0"/>
          <w:numId w:val="13"/>
        </w:numPr>
        <w:tabs>
          <w:tab w:pos="1079" w:val="left" w:leader="none"/>
        </w:tabs>
        <w:spacing w:line="240" w:lineRule="auto" w:before="0" w:after="0"/>
        <w:ind w:left="1079" w:right="0" w:hanging="720"/>
        <w:jc w:val="left"/>
        <w:rPr>
          <w:u w:val="none"/>
        </w:rPr>
      </w:pPr>
      <w:r>
        <w:rPr>
          <w:u w:val="single"/>
        </w:rPr>
        <w:t>C&amp;G-Non-Federal</w:t>
      </w:r>
      <w:r>
        <w:rPr>
          <w:spacing w:val="-10"/>
          <w:u w:val="single"/>
        </w:rPr>
        <w:t> </w:t>
      </w:r>
      <w:r>
        <w:rPr>
          <w:u w:val="single"/>
        </w:rPr>
        <w:t>Clinical</w:t>
      </w:r>
      <w:r>
        <w:rPr>
          <w:spacing w:val="-7"/>
          <w:u w:val="single"/>
        </w:rPr>
        <w:t> </w:t>
      </w:r>
      <w:r>
        <w:rPr>
          <w:spacing w:val="-2"/>
          <w:u w:val="single"/>
        </w:rPr>
        <w:t>Trials</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various</w:t>
      </w:r>
      <w:r>
        <w:rPr>
          <w:spacing w:val="-2"/>
        </w:rPr>
        <w:t> </w:t>
      </w:r>
      <w:r>
        <w:rPr/>
        <w:t>sponsors.</w:t>
      </w:r>
      <w:r>
        <w:rPr>
          <w:spacing w:val="-3"/>
        </w:rPr>
        <w:t> </w:t>
      </w:r>
      <w:r>
        <w:rPr/>
        <w:t>This</w:t>
      </w:r>
      <w:r>
        <w:rPr>
          <w:spacing w:val="-2"/>
        </w:rPr>
        <w:t> </w:t>
      </w:r>
      <w:r>
        <w:rPr/>
        <w:t>C&amp;G</w:t>
      </w:r>
      <w:r>
        <w:rPr>
          <w:spacing w:val="-2"/>
        </w:rPr>
        <w:t> </w:t>
      </w:r>
      <w:r>
        <w:rPr/>
        <w:t>Non-Fed</w:t>
      </w:r>
      <w:r>
        <w:rPr>
          <w:spacing w:val="-2"/>
        </w:rPr>
        <w:t> </w:t>
      </w:r>
      <w:r>
        <w:rPr/>
        <w:t>Clinical</w:t>
      </w:r>
      <w:r>
        <w:rPr>
          <w:spacing w:val="-4"/>
        </w:rPr>
        <w:t> </w:t>
      </w:r>
      <w:r>
        <w:rPr/>
        <w:t>Trials</w:t>
      </w:r>
      <w:r>
        <w:rPr>
          <w:spacing w:val="-4"/>
        </w:rPr>
        <w:t> </w:t>
      </w:r>
      <w:r>
        <w:rPr/>
        <w:t>fund is restricted to supporting the University's Sponsored Clinical Trial Business.</w:t>
      </w:r>
    </w:p>
    <w:p>
      <w:pPr>
        <w:pStyle w:val="Heading2"/>
        <w:tabs>
          <w:tab w:pos="1079" w:val="left" w:leader="none"/>
        </w:tabs>
        <w:spacing w:before="321"/>
        <w:ind w:left="359"/>
        <w:rPr>
          <w:u w:val="none"/>
        </w:rPr>
      </w:pPr>
      <w:r>
        <w:rPr>
          <w:spacing w:val="-5"/>
          <w:u w:val="none"/>
        </w:rPr>
        <w:t>221</w:t>
      </w:r>
      <w:r>
        <w:rPr>
          <w:u w:val="none"/>
        </w:rPr>
        <w:tab/>
      </w:r>
      <w:r>
        <w:rPr>
          <w:u w:val="single"/>
        </w:rPr>
        <w:t>IFAS-Experiment</w:t>
      </w:r>
      <w:r>
        <w:rPr>
          <w:spacing w:val="-7"/>
          <w:u w:val="single"/>
        </w:rPr>
        <w:t> </w:t>
      </w:r>
      <w:r>
        <w:rPr>
          <w:u w:val="single"/>
        </w:rPr>
        <w:t>Station</w:t>
      </w:r>
      <w:r>
        <w:rPr>
          <w:spacing w:val="-8"/>
          <w:u w:val="single"/>
        </w:rPr>
        <w:t> </w:t>
      </w:r>
      <w:r>
        <w:rPr>
          <w:u w:val="single"/>
        </w:rPr>
        <w:t>Federal</w:t>
      </w:r>
      <w:r>
        <w:rPr>
          <w:spacing w:val="-6"/>
          <w:u w:val="single"/>
        </w:rPr>
        <w:t> </w:t>
      </w:r>
      <w:r>
        <w:rPr>
          <w:u w:val="single"/>
        </w:rPr>
        <w:t>Trust</w:t>
      </w:r>
      <w:r>
        <w:rPr>
          <w:spacing w:val="-8"/>
          <w:u w:val="single"/>
        </w:rPr>
        <w:t> </w:t>
      </w:r>
      <w:r>
        <w:rPr>
          <w:spacing w:val="-4"/>
          <w:u w:val="single"/>
        </w:rPr>
        <w:t>Fund</w:t>
      </w:r>
    </w:p>
    <w:p>
      <w:pPr>
        <w:pStyle w:val="BodyText"/>
        <w:ind w:right="352"/>
      </w:pPr>
      <w:r>
        <w:rPr/>
        <w:t>Monies in this fund come from the Hatch Act Federal Appropriation. These funds are restricted</w:t>
      </w:r>
      <w:r>
        <w:rPr>
          <w:spacing w:val="-3"/>
        </w:rPr>
        <w:t> </w:t>
      </w:r>
      <w:r>
        <w:rPr/>
        <w:t>to</w:t>
      </w:r>
      <w:r>
        <w:rPr>
          <w:spacing w:val="-3"/>
        </w:rPr>
        <w:t> </w:t>
      </w:r>
      <w:r>
        <w:rPr/>
        <w:t>the</w:t>
      </w:r>
      <w:r>
        <w:rPr>
          <w:spacing w:val="-4"/>
        </w:rPr>
        <w:t> </w:t>
      </w:r>
      <w:r>
        <w:rPr/>
        <w:t>research</w:t>
      </w:r>
      <w:r>
        <w:rPr>
          <w:spacing w:val="-3"/>
        </w:rPr>
        <w:t> </w:t>
      </w:r>
      <w:r>
        <w:rPr/>
        <w:t>function.</w:t>
      </w:r>
      <w:r>
        <w:rPr>
          <w:spacing w:val="-4"/>
        </w:rPr>
        <w:t> </w:t>
      </w:r>
      <w:r>
        <w:rPr/>
        <w:t>Through</w:t>
      </w:r>
      <w:r>
        <w:rPr>
          <w:spacing w:val="-3"/>
        </w:rPr>
        <w:t> </w:t>
      </w:r>
      <w:r>
        <w:rPr/>
        <w:t>approval</w:t>
      </w:r>
      <w:r>
        <w:rPr>
          <w:spacing w:val="-5"/>
        </w:rPr>
        <w:t> </w:t>
      </w:r>
      <w:r>
        <w:rPr/>
        <w:t>of</w:t>
      </w:r>
      <w:r>
        <w:rPr>
          <w:spacing w:val="-4"/>
        </w:rPr>
        <w:t> </w:t>
      </w:r>
      <w:r>
        <w:rPr/>
        <w:t>the</w:t>
      </w:r>
      <w:r>
        <w:rPr>
          <w:spacing w:val="-5"/>
        </w:rPr>
        <w:t> </w:t>
      </w:r>
      <w:r>
        <w:rPr/>
        <w:t>Hatch</w:t>
      </w:r>
      <w:r>
        <w:rPr>
          <w:spacing w:val="-3"/>
        </w:rPr>
        <w:t> </w:t>
      </w:r>
      <w:r>
        <w:rPr/>
        <w:t>Act</w:t>
      </w:r>
      <w:r>
        <w:rPr>
          <w:spacing w:val="-5"/>
        </w:rPr>
        <w:t> </w:t>
      </w:r>
      <w:r>
        <w:rPr/>
        <w:t>of</w:t>
      </w:r>
      <w:r>
        <w:rPr>
          <w:spacing w:val="-4"/>
        </w:rPr>
        <w:t> </w:t>
      </w:r>
      <w:r>
        <w:rPr/>
        <w:t>1887,</w:t>
      </w:r>
      <w:r>
        <w:rPr>
          <w:spacing w:val="-4"/>
        </w:rPr>
        <w:t> </w:t>
      </w:r>
      <w:r>
        <w:rPr/>
        <w:t>Congress provided for the establishment of an agricultural experiment station at each of the land grant colleges.</w:t>
      </w:r>
    </w:p>
    <w:p>
      <w:pPr>
        <w:pStyle w:val="BodyText"/>
        <w:spacing w:after="0"/>
        <w:sectPr>
          <w:pgSz w:w="12240" w:h="15840"/>
          <w:pgMar w:header="0" w:footer="672" w:top="660" w:bottom="940" w:left="360" w:right="360"/>
        </w:sectPr>
      </w:pPr>
    </w:p>
    <w:p>
      <w:pPr>
        <w:pStyle w:val="Heading2"/>
        <w:tabs>
          <w:tab w:pos="1079" w:val="left" w:leader="none"/>
        </w:tabs>
        <w:spacing w:line="322" w:lineRule="exact" w:before="60"/>
        <w:rPr>
          <w:u w:val="none"/>
        </w:rPr>
      </w:pPr>
      <w:r>
        <w:rPr>
          <w:spacing w:val="-5"/>
          <w:u w:val="none"/>
        </w:rPr>
        <w:t>222</w:t>
      </w:r>
      <w:r>
        <w:rPr>
          <w:u w:val="none"/>
        </w:rPr>
        <w:tab/>
      </w:r>
      <w:r>
        <w:rPr>
          <w:u w:val="single"/>
        </w:rPr>
        <w:t>IFAS-Extension</w:t>
      </w:r>
      <w:r>
        <w:rPr>
          <w:spacing w:val="-10"/>
          <w:u w:val="single"/>
        </w:rPr>
        <w:t> </w:t>
      </w:r>
      <w:r>
        <w:rPr>
          <w:u w:val="single"/>
        </w:rPr>
        <w:t>Service</w:t>
      </w:r>
      <w:r>
        <w:rPr>
          <w:spacing w:val="-8"/>
          <w:u w:val="single"/>
        </w:rPr>
        <w:t> </w:t>
      </w:r>
      <w:r>
        <w:rPr>
          <w:u w:val="single"/>
        </w:rPr>
        <w:t>Federal</w:t>
      </w:r>
      <w:r>
        <w:rPr>
          <w:spacing w:val="-6"/>
          <w:u w:val="single"/>
        </w:rPr>
        <w:t> </w:t>
      </w:r>
      <w:r>
        <w:rPr>
          <w:spacing w:val="-5"/>
          <w:u w:val="single"/>
        </w:rPr>
        <w:t>TF</w:t>
      </w:r>
    </w:p>
    <w:p>
      <w:pPr>
        <w:pStyle w:val="BodyText"/>
        <w:ind w:left="1079" w:right="405"/>
      </w:pPr>
      <w:r>
        <w:rPr/>
        <w:t>Monies</w:t>
      </w:r>
      <w:r>
        <w:rPr>
          <w:spacing w:val="-3"/>
        </w:rPr>
        <w:t> </w:t>
      </w:r>
      <w:r>
        <w:rPr/>
        <w:t>from</w:t>
      </w:r>
      <w:r>
        <w:rPr>
          <w:spacing w:val="-4"/>
        </w:rPr>
        <w:t> </w:t>
      </w:r>
      <w:r>
        <w:rPr/>
        <w:t>this</w:t>
      </w:r>
      <w:r>
        <w:rPr>
          <w:spacing w:val="-3"/>
        </w:rPr>
        <w:t> </w:t>
      </w:r>
      <w:r>
        <w:rPr/>
        <w:t>fund</w:t>
      </w:r>
      <w:r>
        <w:rPr>
          <w:spacing w:val="-3"/>
        </w:rPr>
        <w:t> </w:t>
      </w:r>
      <w:r>
        <w:rPr/>
        <w:t>come</w:t>
      </w:r>
      <w:r>
        <w:rPr>
          <w:spacing w:val="-4"/>
        </w:rPr>
        <w:t> </w:t>
      </w:r>
      <w:r>
        <w:rPr/>
        <w:t>from</w:t>
      </w:r>
      <w:r>
        <w:rPr>
          <w:spacing w:val="-4"/>
        </w:rPr>
        <w:t> </w:t>
      </w:r>
      <w:r>
        <w:rPr/>
        <w:t>the</w:t>
      </w:r>
      <w:r>
        <w:rPr>
          <w:spacing w:val="-4"/>
        </w:rPr>
        <w:t> </w:t>
      </w:r>
      <w:r>
        <w:rPr/>
        <w:t>Morrill</w:t>
      </w:r>
      <w:r>
        <w:rPr>
          <w:spacing w:val="-3"/>
        </w:rPr>
        <w:t> </w:t>
      </w:r>
      <w:r>
        <w:rPr/>
        <w:t>Acts</w:t>
      </w:r>
      <w:r>
        <w:rPr>
          <w:spacing w:val="-3"/>
        </w:rPr>
        <w:t> </w:t>
      </w:r>
      <w:r>
        <w:rPr/>
        <w:t>Federal</w:t>
      </w:r>
      <w:r>
        <w:rPr>
          <w:spacing w:val="-3"/>
        </w:rPr>
        <w:t> </w:t>
      </w:r>
      <w:r>
        <w:rPr/>
        <w:t>Appropriation.</w:t>
      </w:r>
      <w:r>
        <w:rPr>
          <w:spacing w:val="-4"/>
        </w:rPr>
        <w:t> </w:t>
      </w:r>
      <w:r>
        <w:rPr/>
        <w:t>The</w:t>
      </w:r>
      <w:r>
        <w:rPr>
          <w:spacing w:val="-6"/>
        </w:rPr>
        <w:t> </w:t>
      </w:r>
      <w:r>
        <w:rPr/>
        <w:t>legislation gave states public lands,</w:t>
      </w:r>
      <w:r>
        <w:rPr>
          <w:spacing w:val="-2"/>
        </w:rPr>
        <w:t> </w:t>
      </w:r>
      <w:r>
        <w:rPr/>
        <w:t>provided that the</w:t>
      </w:r>
      <w:r>
        <w:rPr>
          <w:spacing w:val="-1"/>
        </w:rPr>
        <w:t> </w:t>
      </w:r>
      <w:r>
        <w:rPr/>
        <w:t>proceeds from</w:t>
      </w:r>
      <w:r>
        <w:rPr>
          <w:spacing w:val="-1"/>
        </w:rPr>
        <w:t> </w:t>
      </w:r>
      <w:r>
        <w:rPr/>
        <w:t>them</w:t>
      </w:r>
      <w:r>
        <w:rPr>
          <w:spacing w:val="-2"/>
        </w:rPr>
        <w:t> </w:t>
      </w:r>
      <w:r>
        <w:rPr/>
        <w:t>would go to establishing a college</w:t>
      </w:r>
      <w:r>
        <w:rPr>
          <w:spacing w:val="-3"/>
        </w:rPr>
        <w:t> </w:t>
      </w:r>
      <w:r>
        <w:rPr/>
        <w:t>that</w:t>
      </w:r>
      <w:r>
        <w:rPr>
          <w:spacing w:val="-2"/>
        </w:rPr>
        <w:t> </w:t>
      </w:r>
      <w:r>
        <w:rPr/>
        <w:t>would</w:t>
      </w:r>
      <w:r>
        <w:rPr>
          <w:spacing w:val="-2"/>
        </w:rPr>
        <w:t> </w:t>
      </w:r>
      <w:r>
        <w:rPr/>
        <w:t>teach agriculture</w:t>
      </w:r>
      <w:r>
        <w:rPr>
          <w:spacing w:val="-1"/>
        </w:rPr>
        <w:t> </w:t>
      </w:r>
      <w:r>
        <w:rPr/>
        <w:t>and mechanical arts.</w:t>
      </w:r>
      <w:r>
        <w:rPr>
          <w:spacing w:val="-1"/>
        </w:rPr>
        <w:t> </w:t>
      </w:r>
      <w:r>
        <w:rPr/>
        <w:t>These</w:t>
      </w:r>
      <w:r>
        <w:rPr>
          <w:spacing w:val="-3"/>
        </w:rPr>
        <w:t> </w:t>
      </w:r>
      <w:r>
        <w:rPr/>
        <w:t>funds are</w:t>
      </w:r>
      <w:r>
        <w:rPr>
          <w:spacing w:val="-1"/>
        </w:rPr>
        <w:t> </w:t>
      </w:r>
      <w:r>
        <w:rPr/>
        <w:t>restricted to</w:t>
      </w:r>
      <w:r>
        <w:rPr>
          <w:spacing w:val="-2"/>
        </w:rPr>
        <w:t> </w:t>
      </w:r>
      <w:r>
        <w:rPr/>
        <w:t>the extension (public service) function. Florida Cooperative Extension is a partnership between UF/IFAS, U.S. Department of Agriculture, and the county governments in Florida to provide scientific knowledge and expertise to the public through non-resident educational programs. Operating as part of IFAS, Extension serves each of the state’s 67 counties by providing information and conducting educational programs on issues such</w:t>
      </w:r>
      <w:r>
        <w:rPr>
          <w:spacing w:val="40"/>
        </w:rPr>
        <w:t> </w:t>
      </w:r>
      <w:r>
        <w:rPr/>
        <w:t>as sustainable agriculture, competitiveness in world markets, natural resource conservation, energy conservation, food safety, child and family development, consumer credit counseling, and youth development.</w:t>
      </w:r>
    </w:p>
    <w:p>
      <w:pPr>
        <w:pStyle w:val="Heading2"/>
        <w:tabs>
          <w:tab w:pos="1079" w:val="left" w:leader="none"/>
        </w:tabs>
        <w:spacing w:before="321"/>
        <w:ind w:left="359"/>
        <w:rPr>
          <w:u w:val="none"/>
        </w:rPr>
      </w:pPr>
      <w:r>
        <w:rPr>
          <w:spacing w:val="-5"/>
          <w:u w:val="none"/>
        </w:rPr>
        <w:t>223</w:t>
      </w:r>
      <w:r>
        <w:rPr>
          <w:u w:val="none"/>
        </w:rPr>
        <w:tab/>
      </w:r>
      <w:r>
        <w:rPr>
          <w:u w:val="single"/>
        </w:rPr>
        <w:t>IFAS</w:t>
      </w:r>
      <w:r>
        <w:rPr>
          <w:spacing w:val="-4"/>
          <w:u w:val="single"/>
        </w:rPr>
        <w:t> </w:t>
      </w:r>
      <w:r>
        <w:rPr>
          <w:spacing w:val="-2"/>
          <w:u w:val="single"/>
        </w:rPr>
        <w:t>Capacity</w:t>
      </w:r>
    </w:p>
    <w:p>
      <w:pPr>
        <w:pStyle w:val="BodyText"/>
        <w:spacing w:before="1"/>
        <w:ind w:left="1079" w:right="352"/>
      </w:pPr>
      <w:r>
        <w:rPr/>
        <w:t>Monies in this fund come from the Hatch Act and Morrill Acts Federal Appropriation, providing</w:t>
      </w:r>
      <w:r>
        <w:rPr>
          <w:spacing w:val="-4"/>
        </w:rPr>
        <w:t> </w:t>
      </w:r>
      <w:r>
        <w:rPr/>
        <w:t>for</w:t>
      </w:r>
      <w:r>
        <w:rPr>
          <w:spacing w:val="-5"/>
        </w:rPr>
        <w:t> </w:t>
      </w:r>
      <w:r>
        <w:rPr/>
        <w:t>the</w:t>
      </w:r>
      <w:r>
        <w:rPr>
          <w:spacing w:val="-5"/>
        </w:rPr>
        <w:t> </w:t>
      </w:r>
      <w:r>
        <w:rPr/>
        <w:t>establishment</w:t>
      </w:r>
      <w:r>
        <w:rPr>
          <w:spacing w:val="-4"/>
        </w:rPr>
        <w:t> </w:t>
      </w:r>
      <w:r>
        <w:rPr/>
        <w:t>of</w:t>
      </w:r>
      <w:r>
        <w:rPr>
          <w:spacing w:val="-5"/>
        </w:rPr>
        <w:t> </w:t>
      </w:r>
      <w:r>
        <w:rPr/>
        <w:t>agricultural</w:t>
      </w:r>
      <w:r>
        <w:rPr>
          <w:spacing w:val="-4"/>
        </w:rPr>
        <w:t> </w:t>
      </w:r>
      <w:r>
        <w:rPr/>
        <w:t>experiment</w:t>
      </w:r>
      <w:r>
        <w:rPr>
          <w:spacing w:val="-4"/>
        </w:rPr>
        <w:t> </w:t>
      </w:r>
      <w:r>
        <w:rPr/>
        <w:t>station</w:t>
      </w:r>
      <w:r>
        <w:rPr>
          <w:spacing w:val="-4"/>
        </w:rPr>
        <w:t> </w:t>
      </w:r>
      <w:r>
        <w:rPr/>
        <w:t>and</w:t>
      </w:r>
      <w:r>
        <w:rPr>
          <w:spacing w:val="-4"/>
        </w:rPr>
        <w:t> </w:t>
      </w:r>
      <w:r>
        <w:rPr/>
        <w:t>extension</w:t>
      </w:r>
      <w:r>
        <w:rPr>
          <w:spacing w:val="-4"/>
        </w:rPr>
        <w:t> </w:t>
      </w:r>
      <w:r>
        <w:rPr/>
        <w:t>function Fund 223 is replacing funds 221 and 222.</w:t>
      </w:r>
    </w:p>
    <w:p>
      <w:pPr>
        <w:pStyle w:val="BodyText"/>
        <w:ind w:left="0"/>
      </w:pPr>
    </w:p>
    <w:p>
      <w:pPr>
        <w:pStyle w:val="Heading2"/>
        <w:tabs>
          <w:tab w:pos="1079" w:val="left" w:leader="none"/>
        </w:tabs>
        <w:rPr>
          <w:u w:val="none"/>
        </w:rPr>
      </w:pPr>
      <w:r>
        <w:rPr>
          <w:spacing w:val="-5"/>
          <w:u w:val="none"/>
        </w:rPr>
        <w:t>251</w:t>
      </w:r>
      <w:r>
        <w:rPr>
          <w:u w:val="none"/>
        </w:rPr>
        <w:tab/>
      </w:r>
      <w:r>
        <w:rPr>
          <w:u w:val="single"/>
        </w:rPr>
        <w:t>Financial</w:t>
      </w:r>
      <w:r>
        <w:rPr>
          <w:spacing w:val="-9"/>
          <w:u w:val="single"/>
        </w:rPr>
        <w:t> </w:t>
      </w:r>
      <w:r>
        <w:rPr>
          <w:u w:val="single"/>
        </w:rPr>
        <w:t>Aid</w:t>
      </w:r>
      <w:r>
        <w:rPr>
          <w:spacing w:val="-6"/>
          <w:u w:val="single"/>
        </w:rPr>
        <w:t> </w:t>
      </w:r>
      <w:r>
        <w:rPr>
          <w:u w:val="single"/>
        </w:rPr>
        <w:t>Restricted-Federal,</w:t>
      </w:r>
      <w:r>
        <w:rPr>
          <w:spacing w:val="-6"/>
          <w:u w:val="single"/>
        </w:rPr>
        <w:t> </w:t>
      </w:r>
      <w:r>
        <w:rPr>
          <w:u w:val="single"/>
        </w:rPr>
        <w:t>State,</w:t>
      </w:r>
      <w:r>
        <w:rPr>
          <w:spacing w:val="-8"/>
          <w:u w:val="single"/>
        </w:rPr>
        <w:t> </w:t>
      </w:r>
      <w:r>
        <w:rPr>
          <w:spacing w:val="-2"/>
          <w:u w:val="single"/>
        </w:rPr>
        <w:t>Private</w:t>
      </w:r>
    </w:p>
    <w:p>
      <w:pPr>
        <w:pStyle w:val="BodyText"/>
        <w:ind w:left="1079" w:right="421"/>
      </w:pPr>
      <w:r>
        <w:rPr/>
        <w:t>Monies in this fund come from private and government sources and are used to account for scholarship programs and disbursement of student financial aid. These resources are restricted by donors as well as outside agencies and used only for student financial aid purposes. However, the donors and outside agencies do not designate the recipient of the student financial aid. Monies in this fund come from each credit hour of Student Financial Aid Fees (Example-I. Douglas Turner Grant), amounts transferred from UF Departments,</w:t>
      </w:r>
      <w:r>
        <w:rPr>
          <w:spacing w:val="-4"/>
        </w:rPr>
        <w:t> </w:t>
      </w:r>
      <w:r>
        <w:rPr/>
        <w:t>and</w:t>
      </w:r>
      <w:r>
        <w:rPr>
          <w:spacing w:val="-3"/>
        </w:rPr>
        <w:t> </w:t>
      </w:r>
      <w:r>
        <w:rPr/>
        <w:t>external</w:t>
      </w:r>
      <w:r>
        <w:rPr>
          <w:spacing w:val="-3"/>
        </w:rPr>
        <w:t> </w:t>
      </w:r>
      <w:r>
        <w:rPr/>
        <w:t>agencies</w:t>
      </w:r>
      <w:r>
        <w:rPr>
          <w:spacing w:val="-3"/>
        </w:rPr>
        <w:t> </w:t>
      </w:r>
      <w:r>
        <w:rPr/>
        <w:t>for</w:t>
      </w:r>
      <w:r>
        <w:rPr>
          <w:spacing w:val="-4"/>
        </w:rPr>
        <w:t> </w:t>
      </w:r>
      <w:r>
        <w:rPr/>
        <w:t>monies</w:t>
      </w:r>
      <w:r>
        <w:rPr>
          <w:spacing w:val="-3"/>
        </w:rPr>
        <w:t> </w:t>
      </w:r>
      <w:r>
        <w:rPr/>
        <w:t>from</w:t>
      </w:r>
      <w:r>
        <w:rPr>
          <w:spacing w:val="-4"/>
        </w:rPr>
        <w:t> </w:t>
      </w:r>
      <w:r>
        <w:rPr/>
        <w:t>Student</w:t>
      </w:r>
      <w:r>
        <w:rPr>
          <w:spacing w:val="-3"/>
        </w:rPr>
        <w:t> </w:t>
      </w:r>
      <w:r>
        <w:rPr/>
        <w:t>Financial</w:t>
      </w:r>
      <w:r>
        <w:rPr>
          <w:spacing w:val="-5"/>
        </w:rPr>
        <w:t> </w:t>
      </w:r>
      <w:r>
        <w:rPr/>
        <w:t>Aid.</w:t>
      </w:r>
      <w:r>
        <w:rPr>
          <w:spacing w:val="-7"/>
        </w:rPr>
        <w:t> </w:t>
      </w:r>
      <w:r>
        <w:rPr/>
        <w:t>Expenditures must adhere to all restrictions set by the State of Florida (Example is Florida Bright Futures and Florida Student Assistance Grant). Monies in the fund are for activity associated with resources provided to an institution that has externally established limitations or stipulations placed on their use, but are intended to be used for current purposes at the direction of the external funding source, restrictions can be broad or </w:t>
      </w:r>
      <w:r>
        <w:rPr>
          <w:spacing w:val="-2"/>
        </w:rPr>
        <w:t>specific.</w:t>
      </w:r>
    </w:p>
    <w:p>
      <w:pPr>
        <w:pStyle w:val="Heading2"/>
        <w:tabs>
          <w:tab w:pos="1079" w:val="left" w:leader="none"/>
        </w:tabs>
        <w:spacing w:before="321"/>
        <w:ind w:left="359"/>
        <w:rPr>
          <w:u w:val="none"/>
        </w:rPr>
      </w:pPr>
      <w:r>
        <w:rPr>
          <w:spacing w:val="-5"/>
          <w:u w:val="none"/>
        </w:rPr>
        <w:t>275</w:t>
      </w:r>
      <w:r>
        <w:rPr>
          <w:u w:val="none"/>
        </w:rPr>
        <w:tab/>
      </w:r>
      <w:r>
        <w:rPr>
          <w:u w:val="single"/>
        </w:rPr>
        <w:t>UF</w:t>
      </w:r>
      <w:r>
        <w:rPr>
          <w:spacing w:val="-2"/>
          <w:u w:val="single"/>
        </w:rPr>
        <w:t> </w:t>
      </w:r>
      <w:r>
        <w:rPr>
          <w:u w:val="single"/>
        </w:rPr>
        <w:t>Strategic</w:t>
      </w:r>
      <w:r>
        <w:rPr>
          <w:spacing w:val="-5"/>
          <w:u w:val="single"/>
        </w:rPr>
        <w:t> </w:t>
      </w:r>
      <w:r>
        <w:rPr>
          <w:u w:val="single"/>
        </w:rPr>
        <w:t>Fund</w:t>
      </w:r>
      <w:r>
        <w:rPr>
          <w:spacing w:val="-2"/>
          <w:u w:val="single"/>
        </w:rPr>
        <w:t> </w:t>
      </w:r>
      <w:r>
        <w:rPr>
          <w:u w:val="single"/>
        </w:rPr>
        <w:t>-</w:t>
      </w:r>
      <w:r>
        <w:rPr>
          <w:spacing w:val="-4"/>
          <w:u w:val="single"/>
        </w:rPr>
        <w:t> </w:t>
      </w:r>
      <w:r>
        <w:rPr>
          <w:spacing w:val="-2"/>
          <w:u w:val="single"/>
        </w:rPr>
        <w:t>Research</w:t>
      </w:r>
    </w:p>
    <w:p>
      <w:pPr>
        <w:pStyle w:val="BodyText"/>
        <w:ind w:left="1079" w:right="352"/>
      </w:pPr>
      <w:r>
        <w:rPr/>
        <w:t>This</w:t>
      </w:r>
      <w:r>
        <w:rPr>
          <w:spacing w:val="-3"/>
        </w:rPr>
        <w:t> </w:t>
      </w:r>
      <w:r>
        <w:rPr/>
        <w:t>fund</w:t>
      </w:r>
      <w:r>
        <w:rPr>
          <w:spacing w:val="-3"/>
        </w:rPr>
        <w:t> </w:t>
      </w:r>
      <w:r>
        <w:rPr/>
        <w:t>was</w:t>
      </w:r>
      <w:r>
        <w:rPr>
          <w:spacing w:val="-3"/>
        </w:rPr>
        <w:t> </w:t>
      </w:r>
      <w:r>
        <w:rPr/>
        <w:t>established</w:t>
      </w:r>
      <w:r>
        <w:rPr>
          <w:spacing w:val="-5"/>
        </w:rPr>
        <w:t> </w:t>
      </w:r>
      <w:r>
        <w:rPr/>
        <w:t>to</w:t>
      </w:r>
      <w:r>
        <w:rPr>
          <w:spacing w:val="-5"/>
        </w:rPr>
        <w:t> </w:t>
      </w:r>
      <w:r>
        <w:rPr/>
        <w:t>support</w:t>
      </w:r>
      <w:r>
        <w:rPr>
          <w:spacing w:val="-2"/>
        </w:rPr>
        <w:t> </w:t>
      </w:r>
      <w:r>
        <w:rPr/>
        <w:t>strategic</w:t>
      </w:r>
      <w:r>
        <w:rPr>
          <w:spacing w:val="-6"/>
        </w:rPr>
        <w:t> </w:t>
      </w:r>
      <w:r>
        <w:rPr/>
        <w:t>initiatives</w:t>
      </w:r>
      <w:r>
        <w:rPr>
          <w:spacing w:val="-3"/>
        </w:rPr>
        <w:t> </w:t>
      </w:r>
      <w:r>
        <w:rPr/>
        <w:t>as</w:t>
      </w:r>
      <w:r>
        <w:rPr>
          <w:spacing w:val="-3"/>
        </w:rPr>
        <w:t> </w:t>
      </w:r>
      <w:r>
        <w:rPr/>
        <w:t>it</w:t>
      </w:r>
      <w:r>
        <w:rPr>
          <w:spacing w:val="-3"/>
        </w:rPr>
        <w:t> </w:t>
      </w:r>
      <w:r>
        <w:rPr/>
        <w:t>relates</w:t>
      </w:r>
      <w:r>
        <w:rPr>
          <w:spacing w:val="-3"/>
        </w:rPr>
        <w:t> </w:t>
      </w:r>
      <w:r>
        <w:rPr/>
        <w:t>to</w:t>
      </w:r>
      <w:r>
        <w:rPr>
          <w:spacing w:val="-3"/>
        </w:rPr>
        <w:t> </w:t>
      </w:r>
      <w:r>
        <w:rPr/>
        <w:t>research</w:t>
      </w:r>
      <w:r>
        <w:rPr>
          <w:spacing w:val="-3"/>
        </w:rPr>
        <w:t> </w:t>
      </w:r>
      <w:r>
        <w:rPr/>
        <w:t>activities. For non-research activities see fund 175 for the strategic initiative fund.</w:t>
      </w:r>
    </w:p>
    <w:p>
      <w:pPr>
        <w:pStyle w:val="BodyText"/>
        <w:ind w:left="0"/>
      </w:pPr>
    </w:p>
    <w:p>
      <w:pPr>
        <w:pStyle w:val="BodyText"/>
        <w:spacing w:before="1"/>
        <w:ind w:left="0"/>
      </w:pPr>
    </w:p>
    <w:p>
      <w:pPr>
        <w:pStyle w:val="Heading2"/>
        <w:tabs>
          <w:tab w:pos="1079" w:val="left" w:leader="none"/>
        </w:tabs>
        <w:rPr>
          <w:u w:val="none"/>
        </w:rPr>
      </w:pPr>
      <w:r>
        <w:rPr>
          <w:spacing w:val="-5"/>
          <w:u w:val="none"/>
        </w:rPr>
        <w:t>279</w:t>
      </w:r>
      <w:r>
        <w:rPr>
          <w:u w:val="none"/>
        </w:rPr>
        <w:tab/>
      </w:r>
      <w:r>
        <w:rPr>
          <w:u w:val="single"/>
        </w:rPr>
        <w:t>Restricted</w:t>
      </w:r>
      <w:r>
        <w:rPr>
          <w:spacing w:val="-10"/>
          <w:u w:val="single"/>
        </w:rPr>
        <w:t> </w:t>
      </w:r>
      <w:r>
        <w:rPr>
          <w:u w:val="single"/>
        </w:rPr>
        <w:t>Incidental</w:t>
      </w:r>
      <w:r>
        <w:rPr>
          <w:spacing w:val="-6"/>
          <w:u w:val="single"/>
        </w:rPr>
        <w:t> </w:t>
      </w:r>
      <w:r>
        <w:rPr>
          <w:spacing w:val="-4"/>
          <w:u w:val="single"/>
        </w:rPr>
        <w:t>Fund</w:t>
      </w:r>
    </w:p>
    <w:p>
      <w:pPr>
        <w:pStyle w:val="BodyText"/>
        <w:ind w:right="446"/>
      </w:pPr>
      <w:r>
        <w:rPr/>
        <w:t>Monies</w:t>
      </w:r>
      <w:r>
        <w:rPr>
          <w:spacing w:val="-3"/>
        </w:rPr>
        <w:t> </w:t>
      </w:r>
      <w:r>
        <w:rPr/>
        <w:t>in</w:t>
      </w:r>
      <w:r>
        <w:rPr>
          <w:spacing w:val="-3"/>
        </w:rPr>
        <w:t> </w:t>
      </w:r>
      <w:r>
        <w:rPr/>
        <w:t>this</w:t>
      </w:r>
      <w:r>
        <w:rPr>
          <w:spacing w:val="-3"/>
        </w:rPr>
        <w:t> </w:t>
      </w:r>
      <w:r>
        <w:rPr/>
        <w:t>current</w:t>
      </w:r>
      <w:r>
        <w:rPr>
          <w:spacing w:val="-3"/>
        </w:rPr>
        <w:t> </w:t>
      </w:r>
      <w:r>
        <w:rPr/>
        <w:t>restricted</w:t>
      </w:r>
      <w:r>
        <w:rPr>
          <w:spacing w:val="-3"/>
        </w:rPr>
        <w:t> </w:t>
      </w:r>
      <w:r>
        <w:rPr/>
        <w:t>fund</w:t>
      </w:r>
      <w:r>
        <w:rPr>
          <w:spacing w:val="-3"/>
        </w:rPr>
        <w:t> </w:t>
      </w:r>
      <w:r>
        <w:rPr/>
        <w:t>come</w:t>
      </w:r>
      <w:r>
        <w:rPr>
          <w:spacing w:val="-6"/>
        </w:rPr>
        <w:t> </w:t>
      </w:r>
      <w:r>
        <w:rPr/>
        <w:t>from</w:t>
      </w:r>
      <w:r>
        <w:rPr>
          <w:spacing w:val="-3"/>
        </w:rPr>
        <w:t> </w:t>
      </w:r>
      <w:r>
        <w:rPr/>
        <w:t>incidental</w:t>
      </w:r>
      <w:r>
        <w:rPr>
          <w:spacing w:val="-3"/>
        </w:rPr>
        <w:t> </w:t>
      </w:r>
      <w:r>
        <w:rPr/>
        <w:t>revenues</w:t>
      </w:r>
      <w:r>
        <w:rPr>
          <w:spacing w:val="-5"/>
        </w:rPr>
        <w:t> </w:t>
      </w:r>
      <w:r>
        <w:rPr/>
        <w:t>that</w:t>
      </w:r>
      <w:r>
        <w:rPr>
          <w:spacing w:val="-3"/>
        </w:rPr>
        <w:t> </w:t>
      </w:r>
      <w:r>
        <w:rPr/>
        <w:t>are</w:t>
      </w:r>
      <w:r>
        <w:rPr>
          <w:spacing w:val="-4"/>
        </w:rPr>
        <w:t> </w:t>
      </w:r>
      <w:r>
        <w:rPr/>
        <w:t>restricted</w:t>
      </w:r>
      <w:r>
        <w:rPr>
          <w:spacing w:val="-3"/>
        </w:rPr>
        <w:t> </w:t>
      </w:r>
      <w:r>
        <w:rPr/>
        <w:t>to a specific department or purpose.</w:t>
      </w:r>
    </w:p>
    <w:p>
      <w:pPr>
        <w:pStyle w:val="BodyText"/>
        <w:spacing w:after="0"/>
        <w:sectPr>
          <w:pgSz w:w="12240" w:h="15840"/>
          <w:pgMar w:header="0" w:footer="672" w:top="660" w:bottom="940" w:left="360" w:right="360"/>
        </w:sectPr>
      </w:pPr>
    </w:p>
    <w:p>
      <w:pPr>
        <w:pStyle w:val="Heading1"/>
        <w:spacing w:before="59"/>
        <w:jc w:val="both"/>
      </w:pPr>
      <w:r>
        <w:rPr/>
        <w:t>Loan</w:t>
      </w:r>
      <w:r>
        <w:rPr>
          <w:spacing w:val="-7"/>
        </w:rPr>
        <w:t> </w:t>
      </w:r>
      <w:r>
        <w:rPr>
          <w:spacing w:val="-2"/>
        </w:rPr>
        <w:t>Funds</w:t>
      </w:r>
    </w:p>
    <w:p>
      <w:pPr>
        <w:pStyle w:val="BodyText"/>
        <w:ind w:left="360" w:right="1022"/>
        <w:jc w:val="both"/>
      </w:pPr>
      <w:r>
        <w:rPr/>
        <w:t>Loan</w:t>
      </w:r>
      <w:r>
        <w:rPr>
          <w:spacing w:val="-2"/>
        </w:rPr>
        <w:t> </w:t>
      </w:r>
      <w:r>
        <w:rPr/>
        <w:t>Funds</w:t>
      </w:r>
      <w:r>
        <w:rPr>
          <w:spacing w:val="-2"/>
        </w:rPr>
        <w:t> </w:t>
      </w:r>
      <w:r>
        <w:rPr/>
        <w:t>consist</w:t>
      </w:r>
      <w:r>
        <w:rPr>
          <w:spacing w:val="-2"/>
        </w:rPr>
        <w:t> </w:t>
      </w:r>
      <w:r>
        <w:rPr/>
        <w:t>of</w:t>
      </w:r>
      <w:r>
        <w:rPr>
          <w:spacing w:val="-3"/>
        </w:rPr>
        <w:t> </w:t>
      </w:r>
      <w:r>
        <w:rPr/>
        <w:t>loans</w:t>
      </w:r>
      <w:r>
        <w:rPr>
          <w:spacing w:val="-2"/>
        </w:rPr>
        <w:t> </w:t>
      </w:r>
      <w:r>
        <w:rPr/>
        <w:t>to</w:t>
      </w:r>
      <w:r>
        <w:rPr>
          <w:spacing w:val="-2"/>
        </w:rPr>
        <w:t> </w:t>
      </w:r>
      <w:r>
        <w:rPr/>
        <w:t>students</w:t>
      </w:r>
      <w:r>
        <w:rPr>
          <w:spacing w:val="-2"/>
        </w:rPr>
        <w:t> </w:t>
      </w:r>
      <w:r>
        <w:rPr/>
        <w:t>and</w:t>
      </w:r>
      <w:r>
        <w:rPr>
          <w:spacing w:val="-2"/>
        </w:rPr>
        <w:t> </w:t>
      </w:r>
      <w:r>
        <w:rPr/>
        <w:t>the</w:t>
      </w:r>
      <w:r>
        <w:rPr>
          <w:spacing w:val="-2"/>
        </w:rPr>
        <w:t> </w:t>
      </w:r>
      <w:r>
        <w:rPr/>
        <w:t>resources</w:t>
      </w:r>
      <w:r>
        <w:rPr>
          <w:spacing w:val="-2"/>
        </w:rPr>
        <w:t> </w:t>
      </w:r>
      <w:r>
        <w:rPr/>
        <w:t>available</w:t>
      </w:r>
      <w:r>
        <w:rPr>
          <w:spacing w:val="-3"/>
        </w:rPr>
        <w:t> </w:t>
      </w:r>
      <w:r>
        <w:rPr/>
        <w:t>for</w:t>
      </w:r>
      <w:r>
        <w:rPr>
          <w:spacing w:val="-5"/>
        </w:rPr>
        <w:t> </w:t>
      </w:r>
      <w:r>
        <w:rPr/>
        <w:t>such</w:t>
      </w:r>
      <w:r>
        <w:rPr>
          <w:spacing w:val="-4"/>
        </w:rPr>
        <w:t> </w:t>
      </w:r>
      <w:r>
        <w:rPr/>
        <w:t>purposes.</w:t>
      </w:r>
      <w:r>
        <w:rPr>
          <w:spacing w:val="-3"/>
        </w:rPr>
        <w:t> </w:t>
      </w:r>
      <w:r>
        <w:rPr/>
        <w:t>The terms</w:t>
      </w:r>
      <w:r>
        <w:rPr>
          <w:spacing w:val="-1"/>
        </w:rPr>
        <w:t> </w:t>
      </w:r>
      <w:r>
        <w:rPr/>
        <w:t>of</w:t>
      </w:r>
      <w:r>
        <w:rPr>
          <w:spacing w:val="-4"/>
        </w:rPr>
        <w:t> </w:t>
      </w:r>
      <w:r>
        <w:rPr/>
        <w:t>loan</w:t>
      </w:r>
      <w:r>
        <w:rPr>
          <w:spacing w:val="-1"/>
        </w:rPr>
        <w:t> </w:t>
      </w:r>
      <w:r>
        <w:rPr/>
        <w:t>agreements</w:t>
      </w:r>
      <w:r>
        <w:rPr>
          <w:spacing w:val="-3"/>
        </w:rPr>
        <w:t> </w:t>
      </w:r>
      <w:r>
        <w:rPr/>
        <w:t>usually</w:t>
      </w:r>
      <w:r>
        <w:rPr>
          <w:spacing w:val="-1"/>
        </w:rPr>
        <w:t> </w:t>
      </w:r>
      <w:r>
        <w:rPr/>
        <w:t>specify</w:t>
      </w:r>
      <w:r>
        <w:rPr>
          <w:spacing w:val="-1"/>
        </w:rPr>
        <w:t> </w:t>
      </w:r>
      <w:r>
        <w:rPr/>
        <w:t>that</w:t>
      </w:r>
      <w:r>
        <w:rPr>
          <w:spacing w:val="-3"/>
        </w:rPr>
        <w:t> </w:t>
      </w:r>
      <w:r>
        <w:rPr/>
        <w:t>the</w:t>
      </w:r>
      <w:r>
        <w:rPr>
          <w:spacing w:val="-2"/>
        </w:rPr>
        <w:t> </w:t>
      </w:r>
      <w:r>
        <w:rPr/>
        <w:t>monies</w:t>
      </w:r>
      <w:r>
        <w:rPr>
          <w:spacing w:val="-1"/>
        </w:rPr>
        <w:t> </w:t>
      </w:r>
      <w:r>
        <w:rPr/>
        <w:t>operate</w:t>
      </w:r>
      <w:r>
        <w:rPr>
          <w:spacing w:val="-2"/>
        </w:rPr>
        <w:t> </w:t>
      </w:r>
      <w:r>
        <w:rPr/>
        <w:t>on</w:t>
      </w:r>
      <w:r>
        <w:rPr>
          <w:spacing w:val="-1"/>
        </w:rPr>
        <w:t> </w:t>
      </w:r>
      <w:r>
        <w:rPr/>
        <w:t>a</w:t>
      </w:r>
      <w:r>
        <w:rPr>
          <w:spacing w:val="-2"/>
        </w:rPr>
        <w:t> </w:t>
      </w:r>
      <w:r>
        <w:rPr/>
        <w:t>revolving</w:t>
      </w:r>
      <w:r>
        <w:rPr>
          <w:spacing w:val="-3"/>
        </w:rPr>
        <w:t> </w:t>
      </w:r>
      <w:r>
        <w:rPr/>
        <w:t>basis,</w:t>
      </w:r>
      <w:r>
        <w:rPr>
          <w:spacing w:val="-2"/>
        </w:rPr>
        <w:t> </w:t>
      </w:r>
      <w:r>
        <w:rPr/>
        <w:t>i.e., repayments of principal and interest loans to other individuals.</w:t>
      </w:r>
    </w:p>
    <w:p>
      <w:pPr>
        <w:pStyle w:val="BodyText"/>
        <w:spacing w:before="1"/>
        <w:ind w:left="0"/>
      </w:pPr>
    </w:p>
    <w:p>
      <w:pPr>
        <w:pStyle w:val="Heading2"/>
        <w:tabs>
          <w:tab w:pos="1079" w:val="left" w:leader="none"/>
        </w:tabs>
        <w:rPr>
          <w:u w:val="none"/>
        </w:rPr>
      </w:pPr>
      <w:r>
        <w:rPr>
          <w:spacing w:val="-5"/>
          <w:u w:val="none"/>
        </w:rPr>
        <w:t>301</w:t>
      </w:r>
      <w:r>
        <w:rPr>
          <w:u w:val="none"/>
        </w:rPr>
        <w:tab/>
      </w:r>
      <w:r>
        <w:rPr>
          <w:spacing w:val="-2"/>
          <w:u w:val="single"/>
        </w:rPr>
        <w:t>Loans-Federal</w:t>
      </w:r>
    </w:p>
    <w:p>
      <w:pPr>
        <w:pStyle w:val="BodyText"/>
        <w:ind w:right="565"/>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Federal</w:t>
      </w:r>
      <w:r>
        <w:rPr>
          <w:spacing w:val="-5"/>
        </w:rPr>
        <w:t> </w:t>
      </w:r>
      <w:r>
        <w:rPr/>
        <w:t>Government</w:t>
      </w:r>
      <w:r>
        <w:rPr>
          <w:spacing w:val="-3"/>
        </w:rPr>
        <w:t> </w:t>
      </w:r>
      <w:r>
        <w:rPr/>
        <w:t>and</w:t>
      </w:r>
      <w:r>
        <w:rPr>
          <w:spacing w:val="-3"/>
        </w:rPr>
        <w:t> </w:t>
      </w:r>
      <w:r>
        <w:rPr/>
        <w:t>Institutional</w:t>
      </w:r>
      <w:r>
        <w:rPr>
          <w:spacing w:val="-3"/>
        </w:rPr>
        <w:t> </w:t>
      </w:r>
      <w:r>
        <w:rPr/>
        <w:t>contributions.</w:t>
      </w:r>
      <w:r>
        <w:rPr>
          <w:spacing w:val="-4"/>
        </w:rPr>
        <w:t> </w:t>
      </w:r>
      <w:r>
        <w:rPr/>
        <w:t>It</w:t>
      </w:r>
      <w:r>
        <w:rPr>
          <w:spacing w:val="-5"/>
        </w:rPr>
        <w:t> </w:t>
      </w:r>
      <w:r>
        <w:rPr/>
        <w:t>is composed of various federal student loan programs and is used to track loan balances. (Examples-Federal Perkins Loans, Health Professions Loans, Loans for Disadvantaged Students and Noyce).</w:t>
      </w:r>
    </w:p>
    <w:p>
      <w:pPr>
        <w:pStyle w:val="BodyText"/>
        <w:ind w:left="0"/>
      </w:pPr>
    </w:p>
    <w:p>
      <w:pPr>
        <w:pStyle w:val="Heading2"/>
        <w:tabs>
          <w:tab w:pos="1079" w:val="left" w:leader="none"/>
        </w:tabs>
        <w:rPr>
          <w:u w:val="none"/>
        </w:rPr>
      </w:pPr>
      <w:r>
        <w:rPr>
          <w:spacing w:val="-5"/>
          <w:u w:val="none"/>
        </w:rPr>
        <w:t>331</w:t>
      </w:r>
      <w:r>
        <w:rPr>
          <w:u w:val="none"/>
        </w:rPr>
        <w:tab/>
      </w:r>
      <w:r>
        <w:rPr>
          <w:spacing w:val="-2"/>
          <w:u w:val="single"/>
        </w:rPr>
        <w:t>Loans-Institutional</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private</w:t>
      </w:r>
      <w:r>
        <w:rPr>
          <w:spacing w:val="-5"/>
        </w:rPr>
        <w:t> </w:t>
      </w:r>
      <w:r>
        <w:rPr/>
        <w:t>donations</w:t>
      </w:r>
      <w:r>
        <w:rPr>
          <w:spacing w:val="-2"/>
        </w:rPr>
        <w:t> </w:t>
      </w:r>
      <w:r>
        <w:rPr/>
        <w:t>and</w:t>
      </w:r>
      <w:r>
        <w:rPr>
          <w:spacing w:val="-2"/>
        </w:rPr>
        <w:t> </w:t>
      </w:r>
      <w:r>
        <w:rPr/>
        <w:t>earned</w:t>
      </w:r>
      <w:r>
        <w:rPr>
          <w:spacing w:val="-2"/>
        </w:rPr>
        <w:t> </w:t>
      </w:r>
      <w:r>
        <w:rPr/>
        <w:t>revenue,</w:t>
      </w:r>
      <w:r>
        <w:rPr>
          <w:spacing w:val="-3"/>
        </w:rPr>
        <w:t> </w:t>
      </w:r>
      <w:r>
        <w:rPr/>
        <w:t>such</w:t>
      </w:r>
      <w:r>
        <w:rPr>
          <w:spacing w:val="-2"/>
        </w:rPr>
        <w:t> </w:t>
      </w:r>
      <w:r>
        <w:rPr/>
        <w:t>as</w:t>
      </w:r>
      <w:r>
        <w:rPr>
          <w:spacing w:val="-4"/>
        </w:rPr>
        <w:t> </w:t>
      </w:r>
      <w:r>
        <w:rPr/>
        <w:t>interest</w:t>
      </w:r>
      <w:r>
        <w:rPr>
          <w:spacing w:val="-2"/>
        </w:rPr>
        <w:t> </w:t>
      </w:r>
      <w:r>
        <w:rPr/>
        <w:t>and collection charges on outstanding loans. It is composed of several accounts and was established for the disbursement of institutional student loans. The fund must match at least one-ninth of the capital in the Federal Loan Fund.</w:t>
      </w:r>
    </w:p>
    <w:p>
      <w:pPr>
        <w:pStyle w:val="Heading1"/>
        <w:spacing w:before="321"/>
      </w:pPr>
      <w:r>
        <w:rPr/>
        <w:t>Capital</w:t>
      </w:r>
      <w:r>
        <w:rPr>
          <w:spacing w:val="-11"/>
        </w:rPr>
        <w:t> </w:t>
      </w:r>
      <w:r>
        <w:rPr/>
        <w:t>Projects</w:t>
      </w:r>
      <w:r>
        <w:rPr>
          <w:spacing w:val="-9"/>
        </w:rPr>
        <w:t> </w:t>
      </w:r>
      <w:r>
        <w:rPr>
          <w:spacing w:val="-2"/>
        </w:rPr>
        <w:t>Funds</w:t>
      </w:r>
    </w:p>
    <w:p>
      <w:pPr>
        <w:pStyle w:val="BodyText"/>
        <w:spacing w:before="1"/>
        <w:ind w:left="360" w:right="421"/>
      </w:pPr>
      <w:r>
        <w:rPr/>
        <w:t>The</w:t>
      </w:r>
      <w:r>
        <w:rPr>
          <w:spacing w:val="-3"/>
        </w:rPr>
        <w:t> </w:t>
      </w:r>
      <w:r>
        <w:rPr/>
        <w:t>purpose</w:t>
      </w:r>
      <w:r>
        <w:rPr>
          <w:spacing w:val="-5"/>
        </w:rPr>
        <w:t> </w:t>
      </w:r>
      <w:r>
        <w:rPr/>
        <w:t>of</w:t>
      </w:r>
      <w:r>
        <w:rPr>
          <w:spacing w:val="-3"/>
        </w:rPr>
        <w:t> </w:t>
      </w:r>
      <w:r>
        <w:rPr/>
        <w:t>this</w:t>
      </w:r>
      <w:r>
        <w:rPr>
          <w:spacing w:val="-2"/>
        </w:rPr>
        <w:t> </w:t>
      </w:r>
      <w:r>
        <w:rPr/>
        <w:t>fund</w:t>
      </w:r>
      <w:r>
        <w:rPr>
          <w:spacing w:val="-2"/>
        </w:rPr>
        <w:t> </w:t>
      </w:r>
      <w:r>
        <w:rPr/>
        <w:t>group</w:t>
      </w:r>
      <w:r>
        <w:rPr>
          <w:spacing w:val="-2"/>
        </w:rPr>
        <w:t> </w:t>
      </w:r>
      <w:r>
        <w:rPr/>
        <w:t>is</w:t>
      </w:r>
      <w:r>
        <w:rPr>
          <w:spacing w:val="-2"/>
        </w:rPr>
        <w:t> </w:t>
      </w:r>
      <w:r>
        <w:rPr/>
        <w:t>to</w:t>
      </w:r>
      <w:r>
        <w:rPr>
          <w:spacing w:val="-2"/>
        </w:rPr>
        <w:t> </w:t>
      </w:r>
      <w:r>
        <w:rPr/>
        <w:t>account</w:t>
      </w:r>
      <w:r>
        <w:rPr>
          <w:spacing w:val="-2"/>
        </w:rPr>
        <w:t> </w:t>
      </w:r>
      <w:r>
        <w:rPr/>
        <w:t>for</w:t>
      </w:r>
      <w:r>
        <w:rPr>
          <w:spacing w:val="-3"/>
        </w:rPr>
        <w:t> </w:t>
      </w:r>
      <w:r>
        <w:rPr/>
        <w:t>the</w:t>
      </w:r>
      <w:r>
        <w:rPr>
          <w:spacing w:val="-5"/>
        </w:rPr>
        <w:t> </w:t>
      </w:r>
      <w:r>
        <w:rPr/>
        <w:t>unexpended</w:t>
      </w:r>
      <w:r>
        <w:rPr>
          <w:spacing w:val="-4"/>
        </w:rPr>
        <w:t> </w:t>
      </w:r>
      <w:r>
        <w:rPr/>
        <w:t>resources</w:t>
      </w:r>
      <w:r>
        <w:rPr>
          <w:spacing w:val="-4"/>
        </w:rPr>
        <w:t> </w:t>
      </w:r>
      <w:r>
        <w:rPr/>
        <w:t>derived</w:t>
      </w:r>
      <w:r>
        <w:rPr>
          <w:spacing w:val="-2"/>
        </w:rPr>
        <w:t> </w:t>
      </w:r>
      <w:r>
        <w:rPr/>
        <w:t>from</w:t>
      </w:r>
      <w:r>
        <w:rPr>
          <w:spacing w:val="-3"/>
        </w:rPr>
        <w:t> </w:t>
      </w:r>
      <w:r>
        <w:rPr/>
        <w:t>various sources to finance the acquisition, construction, or renewal and replacement of long-lasting plant assets and the associated liabilities.</w:t>
      </w:r>
    </w:p>
    <w:p>
      <w:pPr>
        <w:pStyle w:val="BodyText"/>
        <w:ind w:left="0"/>
      </w:pPr>
    </w:p>
    <w:p>
      <w:pPr>
        <w:pStyle w:val="Heading2"/>
        <w:tabs>
          <w:tab w:pos="1080" w:val="left" w:leader="none"/>
        </w:tabs>
        <w:rPr>
          <w:u w:val="none"/>
        </w:rPr>
      </w:pPr>
      <w:r>
        <w:rPr>
          <w:spacing w:val="-5"/>
          <w:u w:val="none"/>
        </w:rPr>
        <w:t>501</w:t>
      </w:r>
      <w:r>
        <w:rPr>
          <w:u w:val="none"/>
        </w:rPr>
        <w:tab/>
      </w:r>
      <w:r>
        <w:rPr>
          <w:u w:val="single"/>
        </w:rPr>
        <w:t>Capital</w:t>
      </w:r>
      <w:r>
        <w:rPr>
          <w:spacing w:val="-6"/>
          <w:u w:val="single"/>
        </w:rPr>
        <w:t> </w:t>
      </w:r>
      <w:r>
        <w:rPr>
          <w:u w:val="single"/>
        </w:rPr>
        <w:t>Facilities</w:t>
      </w:r>
      <w:r>
        <w:rPr>
          <w:spacing w:val="-5"/>
          <w:u w:val="single"/>
        </w:rPr>
        <w:t> </w:t>
      </w:r>
      <w:r>
        <w:rPr>
          <w:u w:val="single"/>
        </w:rPr>
        <w:t>Match</w:t>
      </w:r>
      <w:r>
        <w:rPr>
          <w:spacing w:val="-7"/>
          <w:u w:val="single"/>
        </w:rPr>
        <w:t> </w:t>
      </w:r>
      <w:r>
        <w:rPr>
          <w:spacing w:val="-4"/>
          <w:u w:val="single"/>
        </w:rPr>
        <w:t>Fund</w:t>
      </w:r>
    </w:p>
    <w:p>
      <w:pPr>
        <w:pStyle w:val="BodyText"/>
        <w:ind w:right="352"/>
      </w:pPr>
      <w:r>
        <w:rPr/>
        <w:t>Monies in this fund come equally from private donations and state matching appropriations.</w:t>
      </w:r>
      <w:r>
        <w:rPr>
          <w:spacing w:val="-4"/>
        </w:rPr>
        <w:t> </w:t>
      </w:r>
      <w:r>
        <w:rPr/>
        <w:t>This</w:t>
      </w:r>
      <w:r>
        <w:rPr>
          <w:spacing w:val="-3"/>
        </w:rPr>
        <w:t> </w:t>
      </w:r>
      <w:r>
        <w:rPr/>
        <w:t>fund</w:t>
      </w:r>
      <w:r>
        <w:rPr>
          <w:spacing w:val="-3"/>
        </w:rPr>
        <w:t> </w:t>
      </w:r>
      <w:r>
        <w:rPr/>
        <w:t>is</w:t>
      </w:r>
      <w:r>
        <w:rPr>
          <w:spacing w:val="-2"/>
        </w:rPr>
        <w:t> </w:t>
      </w:r>
      <w:r>
        <w:rPr/>
        <w:t>used</w:t>
      </w:r>
      <w:r>
        <w:rPr>
          <w:spacing w:val="-3"/>
        </w:rPr>
        <w:t> </w:t>
      </w:r>
      <w:r>
        <w:rPr/>
        <w:t>to</w:t>
      </w:r>
      <w:r>
        <w:rPr>
          <w:spacing w:val="-3"/>
        </w:rPr>
        <w:t> </w:t>
      </w:r>
      <w:r>
        <w:rPr/>
        <w:t>record</w:t>
      </w:r>
      <w:r>
        <w:rPr>
          <w:spacing w:val="-5"/>
        </w:rPr>
        <w:t> </w:t>
      </w:r>
      <w:r>
        <w:rPr/>
        <w:t>major</w:t>
      </w:r>
      <w:r>
        <w:rPr>
          <w:spacing w:val="-4"/>
        </w:rPr>
        <w:t> </w:t>
      </w:r>
      <w:r>
        <w:rPr/>
        <w:t>construction</w:t>
      </w:r>
      <w:r>
        <w:rPr>
          <w:spacing w:val="-3"/>
        </w:rPr>
        <w:t> </w:t>
      </w:r>
      <w:r>
        <w:rPr/>
        <w:t>projects</w:t>
      </w:r>
      <w:r>
        <w:rPr>
          <w:spacing w:val="-3"/>
        </w:rPr>
        <w:t> </w:t>
      </w:r>
      <w:r>
        <w:rPr/>
        <w:t>for</w:t>
      </w:r>
      <w:r>
        <w:rPr>
          <w:spacing w:val="-4"/>
        </w:rPr>
        <w:t> </w:t>
      </w:r>
      <w:r>
        <w:rPr/>
        <w:t>the</w:t>
      </w:r>
      <w:r>
        <w:rPr>
          <w:spacing w:val="-4"/>
        </w:rPr>
        <w:t> </w:t>
      </w:r>
      <w:r>
        <w:rPr/>
        <w:t>University of Florida. All Capital Facilities Matching projects are pre-approved through state </w:t>
      </w:r>
      <w:r>
        <w:rPr>
          <w:spacing w:val="-2"/>
        </w:rPr>
        <w:t>legislation.</w:t>
      </w:r>
    </w:p>
    <w:p>
      <w:pPr>
        <w:pStyle w:val="BodyText"/>
        <w:ind w:left="0"/>
      </w:pPr>
    </w:p>
    <w:p>
      <w:pPr>
        <w:pStyle w:val="Heading2"/>
        <w:tabs>
          <w:tab w:pos="1079" w:val="left" w:leader="none"/>
        </w:tabs>
        <w:rPr>
          <w:u w:val="none"/>
        </w:rPr>
      </w:pPr>
      <w:r>
        <w:rPr>
          <w:spacing w:val="-5"/>
          <w:u w:val="none"/>
        </w:rPr>
        <w:t>502</w:t>
      </w:r>
      <w:r>
        <w:rPr>
          <w:u w:val="none"/>
        </w:rPr>
        <w:tab/>
      </w:r>
      <w:r>
        <w:rPr>
          <w:u w:val="single"/>
        </w:rPr>
        <w:t>Courtelis</w:t>
      </w:r>
      <w:r>
        <w:rPr>
          <w:spacing w:val="-6"/>
          <w:u w:val="single"/>
        </w:rPr>
        <w:t> </w:t>
      </w:r>
      <w:r>
        <w:rPr>
          <w:u w:val="single"/>
        </w:rPr>
        <w:t>Private</w:t>
      </w:r>
      <w:r>
        <w:rPr>
          <w:spacing w:val="-6"/>
          <w:u w:val="single"/>
        </w:rPr>
        <w:t> </w:t>
      </w:r>
      <w:r>
        <w:rPr>
          <w:spacing w:val="-2"/>
          <w:u w:val="single"/>
        </w:rPr>
        <w:t>Donations</w:t>
      </w:r>
    </w:p>
    <w:p>
      <w:pPr>
        <w:pStyle w:val="BodyText"/>
        <w:ind w:right="352"/>
      </w:pP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temporarily</w:t>
      </w:r>
      <w:r>
        <w:rPr>
          <w:spacing w:val="-3"/>
        </w:rPr>
        <w:t> </w:t>
      </w:r>
      <w:r>
        <w:rPr/>
        <w:t>record</w:t>
      </w:r>
      <w:r>
        <w:rPr>
          <w:spacing w:val="-3"/>
        </w:rPr>
        <w:t> </w:t>
      </w:r>
      <w:r>
        <w:rPr/>
        <w:t>the</w:t>
      </w:r>
      <w:r>
        <w:rPr>
          <w:spacing w:val="-6"/>
        </w:rPr>
        <w:t> </w:t>
      </w:r>
      <w:r>
        <w:rPr/>
        <w:t>Capital</w:t>
      </w:r>
      <w:r>
        <w:rPr>
          <w:spacing w:val="-3"/>
        </w:rPr>
        <w:t> </w:t>
      </w:r>
      <w:r>
        <w:rPr/>
        <w:t>Facilities</w:t>
      </w:r>
      <w:r>
        <w:rPr>
          <w:spacing w:val="-3"/>
        </w:rPr>
        <w:t> </w:t>
      </w:r>
      <w:r>
        <w:rPr/>
        <w:t>Courtelis</w:t>
      </w:r>
      <w:r>
        <w:rPr>
          <w:spacing w:val="-3"/>
        </w:rPr>
        <w:t> </w:t>
      </w:r>
      <w:r>
        <w:rPr/>
        <w:t>Private</w:t>
      </w:r>
      <w:r>
        <w:rPr>
          <w:spacing w:val="-4"/>
        </w:rPr>
        <w:t> </w:t>
      </w:r>
      <w:r>
        <w:rPr/>
        <w:t>Matching money received through the University Foundation.</w:t>
      </w:r>
    </w:p>
    <w:p>
      <w:pPr>
        <w:pStyle w:val="Heading2"/>
        <w:tabs>
          <w:tab w:pos="1079" w:val="left" w:leader="none"/>
        </w:tabs>
        <w:spacing w:before="321"/>
        <w:rPr>
          <w:u w:val="none"/>
        </w:rPr>
      </w:pPr>
      <w:r>
        <w:rPr>
          <w:spacing w:val="-5"/>
          <w:u w:val="none"/>
        </w:rPr>
        <w:t>503</w:t>
      </w:r>
      <w:r>
        <w:rPr>
          <w:u w:val="none"/>
        </w:rPr>
        <w:tab/>
      </w:r>
      <w:r>
        <w:rPr>
          <w:u w:val="single"/>
        </w:rPr>
        <w:t>Lottery</w:t>
      </w:r>
      <w:r>
        <w:rPr>
          <w:spacing w:val="-10"/>
          <w:u w:val="single"/>
        </w:rPr>
        <w:t> </w:t>
      </w:r>
      <w:r>
        <w:rPr>
          <w:u w:val="single"/>
        </w:rPr>
        <w:t>Funds-</w:t>
      </w:r>
      <w:r>
        <w:rPr>
          <w:spacing w:val="-2"/>
          <w:u w:val="single"/>
        </w:rPr>
        <w:t>Construction</w:t>
      </w:r>
      <w:r>
        <w:rPr>
          <w:spacing w:val="67"/>
          <w:u w:val="single"/>
        </w:rPr>
        <w:t> </w:t>
      </w:r>
    </w:p>
    <w:p>
      <w:pPr>
        <w:pStyle w:val="BodyText"/>
        <w:ind w:right="352"/>
      </w:pPr>
      <w:r>
        <w:rPr/>
        <w:t>Monies in this fund are Lottery Funds received directly by the University from Department</w:t>
      </w:r>
      <w:r>
        <w:rPr>
          <w:spacing w:val="-5"/>
        </w:rPr>
        <w:t> </w:t>
      </w:r>
      <w:r>
        <w:rPr/>
        <w:t>of</w:t>
      </w:r>
      <w:r>
        <w:rPr>
          <w:spacing w:val="-4"/>
        </w:rPr>
        <w:t> </w:t>
      </w:r>
      <w:r>
        <w:rPr/>
        <w:t>Education</w:t>
      </w:r>
      <w:r>
        <w:rPr>
          <w:spacing w:val="-3"/>
        </w:rPr>
        <w:t> </w:t>
      </w:r>
      <w:r>
        <w:rPr/>
        <w:t>for</w:t>
      </w:r>
      <w:r>
        <w:rPr>
          <w:spacing w:val="-4"/>
        </w:rPr>
        <w:t> </w:t>
      </w:r>
      <w:r>
        <w:rPr/>
        <w:t>State</w:t>
      </w:r>
      <w:r>
        <w:rPr>
          <w:spacing w:val="-4"/>
        </w:rPr>
        <w:t> </w:t>
      </w:r>
      <w:r>
        <w:rPr/>
        <w:t>Appropriations,</w:t>
      </w:r>
      <w:r>
        <w:rPr>
          <w:spacing w:val="-4"/>
        </w:rPr>
        <w:t> </w:t>
      </w:r>
      <w:r>
        <w:rPr/>
        <w:t>to</w:t>
      </w:r>
      <w:r>
        <w:rPr>
          <w:spacing w:val="-3"/>
        </w:rPr>
        <w:t> </w:t>
      </w:r>
      <w:r>
        <w:rPr/>
        <w:t>finance</w:t>
      </w:r>
      <w:r>
        <w:rPr>
          <w:spacing w:val="-6"/>
        </w:rPr>
        <w:t> </w:t>
      </w:r>
      <w:r>
        <w:rPr/>
        <w:t>the</w:t>
      </w:r>
      <w:r>
        <w:rPr>
          <w:spacing w:val="-4"/>
        </w:rPr>
        <w:t> </w:t>
      </w:r>
      <w:r>
        <w:rPr/>
        <w:t>construction</w:t>
      </w:r>
      <w:r>
        <w:rPr>
          <w:spacing w:val="-3"/>
        </w:rPr>
        <w:t> </w:t>
      </w:r>
      <w:r>
        <w:rPr/>
        <w:t>and/or maintenance (repairs) of plant assets and the associated liabilities.</w:t>
      </w:r>
    </w:p>
    <w:p>
      <w:pPr>
        <w:pStyle w:val="BodyText"/>
        <w:ind w:left="0"/>
      </w:pPr>
    </w:p>
    <w:p>
      <w:pPr>
        <w:pStyle w:val="Heading2"/>
        <w:tabs>
          <w:tab w:pos="1079" w:val="left" w:leader="none"/>
        </w:tabs>
        <w:rPr>
          <w:u w:val="none"/>
        </w:rPr>
      </w:pPr>
      <w:r>
        <w:rPr>
          <w:spacing w:val="-5"/>
          <w:u w:val="none"/>
        </w:rPr>
        <w:t>504</w:t>
      </w:r>
      <w:r>
        <w:rPr>
          <w:u w:val="none"/>
        </w:rPr>
        <w:tab/>
      </w:r>
      <w:r>
        <w:rPr>
          <w:u w:val="single"/>
        </w:rPr>
        <w:t>SUS</w:t>
      </w:r>
      <w:r>
        <w:rPr>
          <w:spacing w:val="-3"/>
          <w:u w:val="single"/>
        </w:rPr>
        <w:t> </w:t>
      </w:r>
      <w:r>
        <w:rPr>
          <w:u w:val="single"/>
        </w:rPr>
        <w:t>-</w:t>
      </w:r>
      <w:r>
        <w:rPr>
          <w:spacing w:val="-3"/>
          <w:u w:val="single"/>
        </w:rPr>
        <w:t> </w:t>
      </w:r>
      <w:r>
        <w:rPr>
          <w:u w:val="single"/>
        </w:rPr>
        <w:t>General</w:t>
      </w:r>
      <w:r>
        <w:rPr>
          <w:spacing w:val="-3"/>
          <w:u w:val="single"/>
        </w:rPr>
        <w:t> </w:t>
      </w:r>
      <w:r>
        <w:rPr>
          <w:spacing w:val="-2"/>
          <w:u w:val="single"/>
        </w:rPr>
        <w:t>Revenue</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3"/>
        </w:rPr>
        <w:t> </w:t>
      </w:r>
      <w:r>
        <w:rPr/>
        <w:t>from</w:t>
      </w:r>
      <w:r>
        <w:rPr>
          <w:spacing w:val="-5"/>
        </w:rPr>
        <w:t> </w:t>
      </w:r>
      <w:r>
        <w:rPr/>
        <w:t>the</w:t>
      </w:r>
      <w:r>
        <w:rPr>
          <w:spacing w:val="-5"/>
        </w:rPr>
        <w:t> </w:t>
      </w:r>
      <w:r>
        <w:rPr/>
        <w:t>Department</w:t>
      </w:r>
      <w:r>
        <w:rPr>
          <w:spacing w:val="-3"/>
        </w:rPr>
        <w:t> </w:t>
      </w:r>
      <w:r>
        <w:rPr/>
        <w:t>of</w:t>
      </w:r>
      <w:r>
        <w:rPr>
          <w:spacing w:val="-5"/>
        </w:rPr>
        <w:t> </w:t>
      </w:r>
      <w:r>
        <w:rPr/>
        <w:t>Education's</w:t>
      </w:r>
      <w:r>
        <w:rPr>
          <w:spacing w:val="-5"/>
        </w:rPr>
        <w:t> </w:t>
      </w:r>
      <w:r>
        <w:rPr/>
        <w:t>General</w:t>
      </w:r>
      <w:r>
        <w:rPr>
          <w:spacing w:val="-3"/>
        </w:rPr>
        <w:t> </w:t>
      </w:r>
      <w:r>
        <w:rPr/>
        <w:t>Revenue</w:t>
      </w:r>
      <w:r>
        <w:rPr>
          <w:spacing w:val="-4"/>
        </w:rPr>
        <w:t> </w:t>
      </w:r>
      <w:r>
        <w:rPr/>
        <w:t>fund,</w:t>
      </w:r>
      <w:r>
        <w:rPr>
          <w:spacing w:val="-4"/>
        </w:rPr>
        <w:t> </w:t>
      </w:r>
      <w:r>
        <w:rPr/>
        <w:t>to finance the construction and/or maintenance (repairs) of plant assets and the associated </w:t>
      </w:r>
      <w:r>
        <w:rPr>
          <w:spacing w:val="-2"/>
        </w:rPr>
        <w:t>liabilities.</w:t>
      </w:r>
    </w:p>
    <w:p>
      <w:pPr>
        <w:pStyle w:val="BodyText"/>
        <w:spacing w:after="0"/>
        <w:sectPr>
          <w:pgSz w:w="12240" w:h="15840"/>
          <w:pgMar w:header="0" w:footer="672" w:top="660" w:bottom="940" w:left="360" w:right="360"/>
        </w:sectPr>
      </w:pPr>
    </w:p>
    <w:p>
      <w:pPr>
        <w:pStyle w:val="Heading2"/>
        <w:tabs>
          <w:tab w:pos="1079" w:val="left" w:leader="none"/>
        </w:tabs>
        <w:spacing w:line="322" w:lineRule="exact" w:before="60"/>
        <w:rPr>
          <w:u w:val="none"/>
        </w:rPr>
      </w:pPr>
      <w:r>
        <w:rPr>
          <w:spacing w:val="-5"/>
          <w:u w:val="none"/>
        </w:rPr>
        <w:t>505</w:t>
      </w:r>
      <w:r>
        <w:rPr>
          <w:u w:val="none"/>
        </w:rPr>
        <w:tab/>
      </w:r>
      <w:r>
        <w:rPr>
          <w:u w:val="single"/>
        </w:rPr>
        <w:t>SUS</w:t>
      </w:r>
      <w:r>
        <w:rPr>
          <w:spacing w:val="-4"/>
          <w:u w:val="single"/>
        </w:rPr>
        <w:t> </w:t>
      </w:r>
      <w:r>
        <w:rPr>
          <w:u w:val="single"/>
        </w:rPr>
        <w:t>–</w:t>
      </w:r>
      <w:r>
        <w:rPr>
          <w:spacing w:val="-4"/>
          <w:u w:val="single"/>
        </w:rPr>
        <w:t> </w:t>
      </w:r>
      <w:r>
        <w:rPr>
          <w:u w:val="single"/>
        </w:rPr>
        <w:t>Federal</w:t>
      </w:r>
      <w:r>
        <w:rPr>
          <w:spacing w:val="-2"/>
          <w:u w:val="single"/>
        </w:rPr>
        <w:t> </w:t>
      </w:r>
      <w:r>
        <w:rPr>
          <w:u w:val="single"/>
        </w:rPr>
        <w:t>General</w:t>
      </w:r>
      <w:r>
        <w:rPr>
          <w:spacing w:val="-4"/>
          <w:u w:val="single"/>
        </w:rPr>
        <w:t> </w:t>
      </w:r>
      <w:r>
        <w:rPr>
          <w:spacing w:val="-2"/>
          <w:u w:val="single"/>
        </w:rPr>
        <w:t>Revenue</w:t>
      </w:r>
    </w:p>
    <w:p>
      <w:pPr>
        <w:pStyle w:val="BodyText"/>
        <w:ind w:left="1079" w:right="352"/>
      </w:pPr>
      <w:r>
        <w:rPr/>
        <w:t>Monies in this fund come from the Department of Education's General Revenue fund, to finance the construction and/or maintenance (repairs) of plant assets and the associated liabilities.</w:t>
      </w:r>
      <w:r>
        <w:rPr>
          <w:spacing w:val="-3"/>
        </w:rPr>
        <w:t> </w:t>
      </w:r>
      <w:r>
        <w:rPr/>
        <w:t>This</w:t>
      </w:r>
      <w:r>
        <w:rPr>
          <w:spacing w:val="-2"/>
        </w:rPr>
        <w:t> </w:t>
      </w:r>
      <w:r>
        <w:rPr/>
        <w:t>fund</w:t>
      </w:r>
      <w:r>
        <w:rPr>
          <w:spacing w:val="-4"/>
        </w:rPr>
        <w:t> </w:t>
      </w:r>
      <w:r>
        <w:rPr/>
        <w:t>will</w:t>
      </w:r>
      <w:r>
        <w:rPr>
          <w:spacing w:val="-4"/>
        </w:rPr>
        <w:t> </w:t>
      </w:r>
      <w:r>
        <w:rPr/>
        <w:t>be</w:t>
      </w:r>
      <w:r>
        <w:rPr>
          <w:spacing w:val="-5"/>
        </w:rPr>
        <w:t> </w:t>
      </w:r>
      <w:r>
        <w:rPr/>
        <w:t>used</w:t>
      </w:r>
      <w:r>
        <w:rPr>
          <w:spacing w:val="-4"/>
        </w:rPr>
        <w:t> </w:t>
      </w:r>
      <w:r>
        <w:rPr/>
        <w:t>to</w:t>
      </w:r>
      <w:r>
        <w:rPr>
          <w:spacing w:val="-4"/>
        </w:rPr>
        <w:t> </w:t>
      </w:r>
      <w:r>
        <w:rPr/>
        <w:t>track</w:t>
      </w:r>
      <w:r>
        <w:rPr>
          <w:spacing w:val="-2"/>
        </w:rPr>
        <w:t> </w:t>
      </w:r>
      <w:r>
        <w:rPr/>
        <w:t>the</w:t>
      </w:r>
      <w:r>
        <w:rPr>
          <w:spacing w:val="-3"/>
        </w:rPr>
        <w:t> </w:t>
      </w:r>
      <w:r>
        <w:rPr/>
        <w:t>federal</w:t>
      </w:r>
      <w:r>
        <w:rPr>
          <w:spacing w:val="-2"/>
        </w:rPr>
        <w:t> </w:t>
      </w:r>
      <w:r>
        <w:rPr/>
        <w:t>portion</w:t>
      </w:r>
      <w:r>
        <w:rPr>
          <w:spacing w:val="-2"/>
        </w:rPr>
        <w:t> </w:t>
      </w:r>
      <w:r>
        <w:rPr/>
        <w:t>that</w:t>
      </w:r>
      <w:r>
        <w:rPr>
          <w:spacing w:val="-2"/>
        </w:rPr>
        <w:t> </w:t>
      </w:r>
      <w:r>
        <w:rPr/>
        <w:t>has</w:t>
      </w:r>
      <w:r>
        <w:rPr>
          <w:spacing w:val="-2"/>
        </w:rPr>
        <w:t> </w:t>
      </w:r>
      <w:r>
        <w:rPr/>
        <w:t>been</w:t>
      </w:r>
      <w:r>
        <w:rPr>
          <w:spacing w:val="-4"/>
        </w:rPr>
        <w:t> </w:t>
      </w:r>
      <w:r>
        <w:rPr/>
        <w:t>drawn</w:t>
      </w:r>
      <w:r>
        <w:rPr>
          <w:spacing w:val="-2"/>
        </w:rPr>
        <w:t> </w:t>
      </w:r>
      <w:r>
        <w:rPr/>
        <w:t>from</w:t>
      </w:r>
      <w:r>
        <w:rPr>
          <w:spacing w:val="-3"/>
        </w:rPr>
        <w:t> </w:t>
      </w:r>
      <w:r>
        <w:rPr/>
        <w:t>the DOE General Fund.</w:t>
      </w:r>
    </w:p>
    <w:p>
      <w:pPr>
        <w:pStyle w:val="BodyText"/>
        <w:ind w:left="0"/>
      </w:pPr>
    </w:p>
    <w:p>
      <w:pPr>
        <w:pStyle w:val="Heading2"/>
        <w:tabs>
          <w:tab w:pos="1079" w:val="left" w:leader="none"/>
        </w:tabs>
        <w:rPr>
          <w:u w:val="none"/>
        </w:rPr>
      </w:pPr>
      <w:r>
        <w:rPr>
          <w:spacing w:val="-5"/>
          <w:u w:val="none"/>
        </w:rPr>
        <w:t>511</w:t>
      </w:r>
      <w:r>
        <w:rPr>
          <w:u w:val="none"/>
        </w:rPr>
        <w:tab/>
      </w:r>
      <w:r>
        <w:rPr>
          <w:u w:val="single"/>
        </w:rPr>
        <w:t>Capital</w:t>
      </w:r>
      <w:r>
        <w:rPr>
          <w:spacing w:val="-8"/>
          <w:u w:val="single"/>
        </w:rPr>
        <w:t> </w:t>
      </w:r>
      <w:r>
        <w:rPr>
          <w:u w:val="single"/>
        </w:rPr>
        <w:t>Improvement</w:t>
      </w:r>
      <w:r>
        <w:rPr>
          <w:spacing w:val="-6"/>
          <w:u w:val="single"/>
        </w:rPr>
        <w:t> </w:t>
      </w:r>
      <w:r>
        <w:rPr>
          <w:u w:val="single"/>
        </w:rPr>
        <w:t>Trust</w:t>
      </w:r>
      <w:r>
        <w:rPr>
          <w:spacing w:val="-8"/>
          <w:u w:val="single"/>
        </w:rPr>
        <w:t> </w:t>
      </w:r>
      <w:r>
        <w:rPr>
          <w:spacing w:val="-4"/>
          <w:u w:val="single"/>
        </w:rPr>
        <w:t>Fund</w:t>
      </w:r>
    </w:p>
    <w:p>
      <w:pPr>
        <w:pStyle w:val="BodyText"/>
        <w:ind w:right="352" w:hanging="1"/>
      </w:pP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record</w:t>
      </w:r>
      <w:r>
        <w:rPr>
          <w:spacing w:val="-3"/>
        </w:rPr>
        <w:t> </w:t>
      </w:r>
      <w:r>
        <w:rPr/>
        <w:t>Capital</w:t>
      </w:r>
      <w:r>
        <w:rPr>
          <w:spacing w:val="-3"/>
        </w:rPr>
        <w:t> </w:t>
      </w:r>
      <w:r>
        <w:rPr/>
        <w:t>Improvement</w:t>
      </w:r>
      <w:r>
        <w:rPr>
          <w:spacing w:val="-3"/>
        </w:rPr>
        <w:t> </w:t>
      </w:r>
      <w:r>
        <w:rPr/>
        <w:t>Fees,</w:t>
      </w:r>
      <w:r>
        <w:rPr>
          <w:spacing w:val="-4"/>
        </w:rPr>
        <w:t> </w:t>
      </w:r>
      <w:r>
        <w:rPr/>
        <w:t>which</w:t>
      </w:r>
      <w:r>
        <w:rPr>
          <w:spacing w:val="-3"/>
        </w:rPr>
        <w:t> </w:t>
      </w:r>
      <w:r>
        <w:rPr/>
        <w:t>are</w:t>
      </w:r>
      <w:r>
        <w:rPr>
          <w:spacing w:val="-4"/>
        </w:rPr>
        <w:t> </w:t>
      </w:r>
      <w:r>
        <w:rPr/>
        <w:t>a</w:t>
      </w:r>
      <w:r>
        <w:rPr>
          <w:spacing w:val="-4"/>
        </w:rPr>
        <w:t> </w:t>
      </w:r>
      <w:r>
        <w:rPr/>
        <w:t>component</w:t>
      </w:r>
      <w:r>
        <w:rPr>
          <w:spacing w:val="-3"/>
        </w:rPr>
        <w:t> </w:t>
      </w:r>
      <w:r>
        <w:rPr/>
        <w:t>of</w:t>
      </w:r>
      <w:r>
        <w:rPr>
          <w:spacing w:val="-5"/>
        </w:rPr>
        <w:t> </w:t>
      </w:r>
      <w:r>
        <w:rPr/>
        <w:t>student tuition fees. This fee is currently $2.44 per credit hour.</w:t>
      </w:r>
    </w:p>
    <w:p>
      <w:pPr>
        <w:pStyle w:val="BodyText"/>
        <w:spacing w:before="1"/>
        <w:ind w:left="0"/>
      </w:pPr>
    </w:p>
    <w:p>
      <w:pPr>
        <w:pStyle w:val="Heading2"/>
        <w:tabs>
          <w:tab w:pos="1080" w:val="left" w:leader="none"/>
        </w:tabs>
        <w:spacing w:line="322" w:lineRule="exact"/>
        <w:rPr>
          <w:u w:val="none"/>
        </w:rPr>
      </w:pPr>
      <w:r>
        <w:rPr>
          <w:spacing w:val="-5"/>
          <w:u w:val="none"/>
        </w:rPr>
        <w:t>521</w:t>
      </w:r>
      <w:r>
        <w:rPr>
          <w:u w:val="none"/>
        </w:rPr>
        <w:tab/>
      </w:r>
      <w:r>
        <w:rPr>
          <w:spacing w:val="-2"/>
          <w:u w:val="single"/>
        </w:rPr>
        <w:t>SUS-</w:t>
      </w:r>
      <w:r>
        <w:rPr>
          <w:spacing w:val="-4"/>
          <w:u w:val="single"/>
        </w:rPr>
        <w:t>PECO</w:t>
      </w:r>
    </w:p>
    <w:p>
      <w:pPr>
        <w:pStyle w:val="BodyText"/>
        <w:ind w:left="1079" w:right="352"/>
      </w:pPr>
      <w:r>
        <w:rPr/>
        <w:t>Monies in this fund come</w:t>
      </w:r>
      <w:r>
        <w:rPr>
          <w:spacing w:val="-2"/>
        </w:rPr>
        <w:t> </w:t>
      </w:r>
      <w:r>
        <w:rPr/>
        <w:t>directly from Public</w:t>
      </w:r>
      <w:r>
        <w:rPr>
          <w:spacing w:val="-2"/>
        </w:rPr>
        <w:t> </w:t>
      </w:r>
      <w:r>
        <w:rPr/>
        <w:t>Education Capital Outlay (PECO) State Appropriations,</w:t>
      </w:r>
      <w:r>
        <w:rPr>
          <w:spacing w:val="-4"/>
        </w:rPr>
        <w:t> </w:t>
      </w:r>
      <w:r>
        <w:rPr/>
        <w:t>to</w:t>
      </w:r>
      <w:r>
        <w:rPr>
          <w:spacing w:val="-3"/>
        </w:rPr>
        <w:t> </w:t>
      </w:r>
      <w:r>
        <w:rPr/>
        <w:t>finance</w:t>
      </w:r>
      <w:r>
        <w:rPr>
          <w:spacing w:val="-6"/>
        </w:rPr>
        <w:t> </w:t>
      </w:r>
      <w:r>
        <w:rPr/>
        <w:t>the</w:t>
      </w:r>
      <w:r>
        <w:rPr>
          <w:spacing w:val="-4"/>
        </w:rPr>
        <w:t> </w:t>
      </w:r>
      <w:r>
        <w:rPr/>
        <w:t>construction</w:t>
      </w:r>
      <w:r>
        <w:rPr>
          <w:spacing w:val="-3"/>
        </w:rPr>
        <w:t> </w:t>
      </w:r>
      <w:r>
        <w:rPr/>
        <w:t>and/or</w:t>
      </w:r>
      <w:r>
        <w:rPr>
          <w:spacing w:val="-4"/>
        </w:rPr>
        <w:t> </w:t>
      </w:r>
      <w:r>
        <w:rPr/>
        <w:t>maintenance</w:t>
      </w:r>
      <w:r>
        <w:rPr>
          <w:spacing w:val="-4"/>
        </w:rPr>
        <w:t> </w:t>
      </w:r>
      <w:r>
        <w:rPr/>
        <w:t>(repairs)</w:t>
      </w:r>
      <w:r>
        <w:rPr>
          <w:spacing w:val="-4"/>
        </w:rPr>
        <w:t> </w:t>
      </w:r>
      <w:r>
        <w:rPr/>
        <w:t>of</w:t>
      </w:r>
      <w:r>
        <w:rPr>
          <w:spacing w:val="-6"/>
        </w:rPr>
        <w:t> </w:t>
      </w:r>
      <w:r>
        <w:rPr/>
        <w:t>plant</w:t>
      </w:r>
      <w:r>
        <w:rPr>
          <w:spacing w:val="-3"/>
        </w:rPr>
        <w:t> </w:t>
      </w:r>
      <w:r>
        <w:rPr/>
        <w:t>assets and the associated liabilities. PECO funds are generated through the levy of the gross receipts tax on utilities and used to accomplish fixed capital outlay projects of the education agencies.</w:t>
      </w:r>
    </w:p>
    <w:p>
      <w:pPr>
        <w:pStyle w:val="Heading2"/>
        <w:tabs>
          <w:tab w:pos="1079" w:val="left" w:leader="none"/>
        </w:tabs>
        <w:spacing w:before="322"/>
        <w:rPr>
          <w:u w:val="none"/>
        </w:rPr>
      </w:pPr>
      <w:r>
        <w:rPr>
          <w:spacing w:val="-5"/>
          <w:u w:val="none"/>
        </w:rPr>
        <w:t>531</w:t>
      </w:r>
      <w:r>
        <w:rPr>
          <w:u w:val="none"/>
        </w:rPr>
        <w:tab/>
      </w:r>
      <w:r>
        <w:rPr>
          <w:u w:val="single"/>
        </w:rPr>
        <w:t>IFAS-Land</w:t>
      </w:r>
      <w:r>
        <w:rPr>
          <w:spacing w:val="-7"/>
          <w:u w:val="single"/>
        </w:rPr>
        <w:t> </w:t>
      </w:r>
      <w:r>
        <w:rPr>
          <w:u w:val="single"/>
        </w:rPr>
        <w:t>&amp;</w:t>
      </w:r>
      <w:r>
        <w:rPr>
          <w:spacing w:val="-4"/>
          <w:u w:val="single"/>
        </w:rPr>
        <w:t> </w:t>
      </w:r>
      <w:r>
        <w:rPr>
          <w:u w:val="single"/>
        </w:rPr>
        <w:t>Relocation</w:t>
      </w:r>
      <w:r>
        <w:rPr>
          <w:spacing w:val="-4"/>
          <w:u w:val="single"/>
        </w:rPr>
        <w:t> </w:t>
      </w:r>
      <w:r>
        <w:rPr>
          <w:u w:val="single"/>
        </w:rPr>
        <w:t>Trust</w:t>
      </w:r>
      <w:r>
        <w:rPr>
          <w:spacing w:val="-5"/>
          <w:u w:val="single"/>
        </w:rPr>
        <w:t> </w:t>
      </w:r>
      <w:r>
        <w:rPr>
          <w:spacing w:val="-4"/>
          <w:u w:val="single"/>
        </w:rPr>
        <w:t>Fund</w:t>
      </w:r>
    </w:p>
    <w:p>
      <w:pPr>
        <w:pStyle w:val="BodyText"/>
        <w:ind w:right="352"/>
      </w:pPr>
      <w:r>
        <w:rPr/>
        <w:t>Monies in this fund come from land sales associated with the Institute of Food and Agriculture</w:t>
      </w:r>
      <w:r>
        <w:rPr>
          <w:spacing w:val="-3"/>
        </w:rPr>
        <w:t> </w:t>
      </w:r>
      <w:r>
        <w:rPr/>
        <w:t>Sciences</w:t>
      </w:r>
      <w:r>
        <w:rPr>
          <w:spacing w:val="-4"/>
        </w:rPr>
        <w:t> </w:t>
      </w:r>
      <w:r>
        <w:rPr/>
        <w:t>(IFAS).</w:t>
      </w:r>
      <w:r>
        <w:rPr>
          <w:spacing w:val="-6"/>
        </w:rPr>
        <w:t> </w:t>
      </w:r>
      <w:r>
        <w:rPr/>
        <w:t>This</w:t>
      </w:r>
      <w:r>
        <w:rPr>
          <w:spacing w:val="-2"/>
        </w:rPr>
        <w:t> </w:t>
      </w:r>
      <w:r>
        <w:rPr/>
        <w:t>fund</w:t>
      </w:r>
      <w:r>
        <w:rPr>
          <w:spacing w:val="-2"/>
        </w:rPr>
        <w:t> </w:t>
      </w:r>
      <w:r>
        <w:rPr/>
        <w:t>was</w:t>
      </w:r>
      <w:r>
        <w:rPr>
          <w:spacing w:val="-2"/>
        </w:rPr>
        <w:t> </w:t>
      </w:r>
      <w:r>
        <w:rPr/>
        <w:t>established</w:t>
      </w:r>
      <w:r>
        <w:rPr>
          <w:spacing w:val="-2"/>
        </w:rPr>
        <w:t> </w:t>
      </w:r>
      <w:r>
        <w:rPr/>
        <w:t>by</w:t>
      </w:r>
      <w:r>
        <w:rPr>
          <w:spacing w:val="-4"/>
        </w:rPr>
        <w:t> </w:t>
      </w:r>
      <w:r>
        <w:rPr/>
        <w:t>the</w:t>
      </w:r>
      <w:r>
        <w:rPr>
          <w:spacing w:val="-5"/>
        </w:rPr>
        <w:t> </w:t>
      </w:r>
      <w:r>
        <w:rPr/>
        <w:t>Legislature</w:t>
      </w:r>
      <w:r>
        <w:rPr>
          <w:spacing w:val="-5"/>
        </w:rPr>
        <w:t> </w:t>
      </w:r>
      <w:r>
        <w:rPr/>
        <w:t>to assist</w:t>
      </w:r>
      <w:r>
        <w:rPr>
          <w:spacing w:val="-2"/>
        </w:rPr>
        <w:t> </w:t>
      </w:r>
      <w:r>
        <w:rPr/>
        <w:t>in</w:t>
      </w:r>
      <w:r>
        <w:rPr>
          <w:spacing w:val="-2"/>
        </w:rPr>
        <w:t> </w:t>
      </w:r>
      <w:r>
        <w:rPr/>
        <w:t>the relocation and related construction for the consolidation of various research centers around the State.</w:t>
      </w:r>
    </w:p>
    <w:p>
      <w:pPr>
        <w:pStyle w:val="BodyText"/>
        <w:ind w:left="0"/>
      </w:pPr>
    </w:p>
    <w:p>
      <w:pPr>
        <w:pStyle w:val="Heading2"/>
        <w:tabs>
          <w:tab w:pos="1079" w:val="left" w:leader="none"/>
        </w:tabs>
        <w:ind w:left="359"/>
        <w:rPr>
          <w:u w:val="none"/>
        </w:rPr>
      </w:pPr>
      <w:r>
        <w:rPr>
          <w:spacing w:val="-5"/>
          <w:u w:val="none"/>
        </w:rPr>
        <w:t>545</w:t>
      </w:r>
      <w:r>
        <w:rPr>
          <w:u w:val="none"/>
        </w:rPr>
        <w:tab/>
      </w:r>
      <w:r>
        <w:rPr>
          <w:u w:val="single"/>
        </w:rPr>
        <w:t>Utility</w:t>
      </w:r>
      <w:r>
        <w:rPr>
          <w:spacing w:val="-4"/>
          <w:u w:val="single"/>
        </w:rPr>
        <w:t> </w:t>
      </w:r>
      <w:r>
        <w:rPr>
          <w:spacing w:val="-2"/>
          <w:u w:val="single"/>
        </w:rPr>
        <w:t>Infrastructure</w:t>
      </w:r>
    </w:p>
    <w:p>
      <w:pPr>
        <w:pStyle w:val="BodyText"/>
        <w:ind w:left="1079"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come</w:t>
      </w:r>
      <w:r>
        <w:rPr>
          <w:spacing w:val="-4"/>
        </w:rPr>
        <w:t> </w:t>
      </w:r>
      <w:r>
        <w:rPr/>
        <w:t>from</w:t>
      </w:r>
      <w:r>
        <w:rPr>
          <w:spacing w:val="-4"/>
        </w:rPr>
        <w:t> </w:t>
      </w:r>
      <w:r>
        <w:rPr/>
        <w:t>Facilities</w:t>
      </w:r>
      <w:r>
        <w:rPr>
          <w:spacing w:val="-3"/>
        </w:rPr>
        <w:t> </w:t>
      </w:r>
      <w:r>
        <w:rPr/>
        <w:t>Services</w:t>
      </w:r>
      <w:r>
        <w:rPr>
          <w:spacing w:val="-5"/>
        </w:rPr>
        <w:t> </w:t>
      </w:r>
      <w:r>
        <w:rPr/>
        <w:t>auxiliary</w:t>
      </w:r>
      <w:r>
        <w:rPr>
          <w:spacing w:val="-2"/>
        </w:rPr>
        <w:t> </w:t>
      </w:r>
      <w:r>
        <w:rPr/>
        <w:t>and</w:t>
      </w:r>
      <w:r>
        <w:rPr>
          <w:spacing w:val="-3"/>
        </w:rPr>
        <w:t> </w:t>
      </w:r>
      <w:r>
        <w:rPr/>
        <w:t>are</w:t>
      </w:r>
      <w:r>
        <w:rPr>
          <w:spacing w:val="-6"/>
        </w:rPr>
        <w:t> </w:t>
      </w:r>
      <w:r>
        <w:rPr/>
        <w:t>used</w:t>
      </w:r>
      <w:r>
        <w:rPr>
          <w:spacing w:val="-3"/>
        </w:rPr>
        <w:t> </w:t>
      </w:r>
      <w:r>
        <w:rPr/>
        <w:t>to account for utility infrastructure. Expenditures must support the primary mission of the </w:t>
      </w:r>
      <w:r>
        <w:rPr>
          <w:spacing w:val="-2"/>
        </w:rPr>
        <w:t>auxiliary.</w:t>
      </w:r>
    </w:p>
    <w:p>
      <w:pPr>
        <w:pStyle w:val="Heading2"/>
        <w:tabs>
          <w:tab w:pos="1079" w:val="left" w:leader="none"/>
        </w:tabs>
        <w:spacing w:before="320"/>
        <w:ind w:left="359"/>
        <w:rPr>
          <w:u w:val="none"/>
        </w:rPr>
      </w:pPr>
      <w:r>
        <w:rPr>
          <w:spacing w:val="-5"/>
          <w:u w:val="none"/>
        </w:rPr>
        <w:t>547</w:t>
      </w:r>
      <w:r>
        <w:rPr>
          <w:u w:val="none"/>
        </w:rPr>
        <w:tab/>
      </w:r>
      <w:r>
        <w:rPr>
          <w:u w:val="single"/>
        </w:rPr>
        <w:t>Housing</w:t>
      </w:r>
      <w:r>
        <w:rPr>
          <w:spacing w:val="-5"/>
          <w:u w:val="single"/>
        </w:rPr>
        <w:t> </w:t>
      </w:r>
      <w:r>
        <w:rPr>
          <w:spacing w:val="-2"/>
          <w:u w:val="single"/>
        </w:rPr>
        <w:t>Construction</w:t>
      </w:r>
    </w:p>
    <w:p>
      <w:pPr>
        <w:pStyle w:val="BodyText"/>
        <w:spacing w:before="2"/>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come</w:t>
      </w:r>
      <w:r>
        <w:rPr>
          <w:spacing w:val="-4"/>
        </w:rPr>
        <w:t> </w:t>
      </w:r>
      <w:r>
        <w:rPr/>
        <w:t>from</w:t>
      </w:r>
      <w:r>
        <w:rPr>
          <w:spacing w:val="-4"/>
        </w:rPr>
        <w:t> </w:t>
      </w:r>
      <w:r>
        <w:rPr/>
        <w:t>Housing</w:t>
      </w:r>
      <w:r>
        <w:rPr>
          <w:spacing w:val="-3"/>
        </w:rPr>
        <w:t> </w:t>
      </w:r>
      <w:r>
        <w:rPr/>
        <w:t>and</w:t>
      </w:r>
      <w:r>
        <w:rPr>
          <w:spacing w:val="-3"/>
        </w:rPr>
        <w:t> </w:t>
      </w:r>
      <w:r>
        <w:rPr/>
        <w:t>Residence</w:t>
      </w:r>
      <w:r>
        <w:rPr>
          <w:spacing w:val="-6"/>
        </w:rPr>
        <w:t> </w:t>
      </w:r>
      <w:r>
        <w:rPr/>
        <w:t>Education</w:t>
      </w:r>
      <w:r>
        <w:rPr>
          <w:spacing w:val="-3"/>
        </w:rPr>
        <w:t> </w:t>
      </w:r>
      <w:r>
        <w:rPr/>
        <w:t>auxiliary and are used to account for Housing projects. Expenditures must support the primary mission of the auxiliary.</w:t>
      </w:r>
    </w:p>
    <w:p>
      <w:pPr>
        <w:pStyle w:val="Heading2"/>
        <w:tabs>
          <w:tab w:pos="1079" w:val="left" w:leader="none"/>
        </w:tabs>
        <w:spacing w:before="320"/>
        <w:rPr>
          <w:u w:val="none"/>
        </w:rPr>
      </w:pPr>
      <w:r>
        <w:rPr>
          <w:spacing w:val="-5"/>
          <w:u w:val="none"/>
        </w:rPr>
        <w:t>554</w:t>
      </w:r>
      <w:r>
        <w:rPr>
          <w:u w:val="none"/>
        </w:rPr>
        <w:tab/>
      </w:r>
      <w:r>
        <w:rPr>
          <w:u w:val="single"/>
        </w:rPr>
        <w:t>Reitz</w:t>
      </w:r>
      <w:r>
        <w:rPr>
          <w:spacing w:val="-5"/>
          <w:u w:val="single"/>
        </w:rPr>
        <w:t> </w:t>
      </w:r>
      <w:r>
        <w:rPr>
          <w:u w:val="single"/>
        </w:rPr>
        <w:t>Union</w:t>
      </w:r>
      <w:r>
        <w:rPr>
          <w:spacing w:val="-4"/>
          <w:u w:val="single"/>
        </w:rPr>
        <w:t> </w:t>
      </w:r>
      <w:r>
        <w:rPr>
          <w:u w:val="single"/>
        </w:rPr>
        <w:t>Expansion</w:t>
      </w:r>
      <w:r>
        <w:rPr>
          <w:spacing w:val="-4"/>
          <w:u w:val="single"/>
        </w:rPr>
        <w:t> Bond</w:t>
      </w:r>
    </w:p>
    <w:p>
      <w:pPr>
        <w:pStyle w:val="BodyText"/>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4"/>
        </w:rPr>
        <w:t> </w:t>
      </w:r>
      <w:r>
        <w:rPr/>
        <w:t>expenditures,</w:t>
      </w:r>
      <w:r>
        <w:rPr>
          <w:spacing w:val="-4"/>
        </w:rPr>
        <w:t> </w:t>
      </w:r>
      <w:r>
        <w:rPr/>
        <w:t>and</w:t>
      </w:r>
      <w:r>
        <w:rPr>
          <w:spacing w:val="-3"/>
        </w:rPr>
        <w:t> </w:t>
      </w:r>
      <w:r>
        <w:rPr/>
        <w:t>associated liabilities from the Reitz Union Bond issued for the purpose of construction activities to expand and renovate the Reitz Union.</w:t>
      </w:r>
    </w:p>
    <w:p>
      <w:pPr>
        <w:pStyle w:val="BodyText"/>
        <w:ind w:left="0"/>
      </w:pPr>
    </w:p>
    <w:p>
      <w:pPr>
        <w:pStyle w:val="BodyText"/>
        <w:spacing w:before="1"/>
        <w:ind w:left="0"/>
      </w:pPr>
    </w:p>
    <w:p>
      <w:pPr>
        <w:pStyle w:val="Heading2"/>
        <w:tabs>
          <w:tab w:pos="1079" w:val="left" w:leader="none"/>
        </w:tabs>
        <w:rPr>
          <w:u w:val="none"/>
        </w:rPr>
      </w:pPr>
      <w:r>
        <w:rPr>
          <w:spacing w:val="-5"/>
          <w:u w:val="none"/>
        </w:rPr>
        <w:t>555</w:t>
      </w:r>
      <w:r>
        <w:rPr>
          <w:u w:val="none"/>
        </w:rPr>
        <w:tab/>
      </w:r>
      <w:r>
        <w:rPr>
          <w:u w:val="single"/>
        </w:rPr>
        <w:t>UF</w:t>
      </w:r>
      <w:r>
        <w:rPr>
          <w:spacing w:val="-4"/>
          <w:u w:val="single"/>
        </w:rPr>
        <w:t> </w:t>
      </w:r>
      <w:r>
        <w:rPr>
          <w:u w:val="single"/>
        </w:rPr>
        <w:t>Dorm</w:t>
      </w:r>
      <w:r>
        <w:rPr>
          <w:spacing w:val="-4"/>
          <w:u w:val="single"/>
        </w:rPr>
        <w:t> </w:t>
      </w:r>
      <w:r>
        <w:rPr>
          <w:u w:val="single"/>
        </w:rPr>
        <w:t>Rev.</w:t>
      </w:r>
      <w:r>
        <w:rPr>
          <w:spacing w:val="-3"/>
          <w:u w:val="single"/>
        </w:rPr>
        <w:t> </w:t>
      </w:r>
      <w:r>
        <w:rPr>
          <w:u w:val="single"/>
        </w:rPr>
        <w:t>Bond,</w:t>
      </w:r>
      <w:r>
        <w:rPr>
          <w:spacing w:val="-3"/>
          <w:u w:val="single"/>
        </w:rPr>
        <w:t> </w:t>
      </w:r>
      <w:r>
        <w:rPr>
          <w:u w:val="single"/>
        </w:rPr>
        <w:t>Series</w:t>
      </w:r>
      <w:r>
        <w:rPr>
          <w:spacing w:val="-2"/>
          <w:u w:val="single"/>
        </w:rPr>
        <w:t> </w:t>
      </w:r>
      <w:r>
        <w:rPr>
          <w:spacing w:val="-4"/>
          <w:u w:val="single"/>
        </w:rPr>
        <w:t>2013A</w:t>
      </w:r>
    </w:p>
    <w:p>
      <w:pPr>
        <w:pStyle w:val="BodyText"/>
        <w:ind w:left="1079"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4"/>
        </w:rPr>
        <w:t> </w:t>
      </w:r>
      <w:r>
        <w:rPr/>
        <w:t>expenditures,</w:t>
      </w:r>
      <w:r>
        <w:rPr>
          <w:spacing w:val="-4"/>
        </w:rPr>
        <w:t> </w:t>
      </w:r>
      <w:r>
        <w:rPr/>
        <w:t>and</w:t>
      </w:r>
      <w:r>
        <w:rPr>
          <w:spacing w:val="-3"/>
        </w:rPr>
        <w:t> </w:t>
      </w:r>
      <w:r>
        <w:rPr/>
        <w:t>associated liabilities, from the construction activities to build the new residence hall Single Student </w:t>
      </w:r>
      <w:r>
        <w:rPr>
          <w:spacing w:val="-2"/>
        </w:rPr>
        <w:t>Housing.</w:t>
      </w:r>
    </w:p>
    <w:p>
      <w:pPr>
        <w:pStyle w:val="BodyText"/>
        <w:spacing w:after="0"/>
        <w:sectPr>
          <w:pgSz w:w="12240" w:h="15840"/>
          <w:pgMar w:header="0" w:footer="672" w:top="660" w:bottom="940" w:left="360" w:right="360"/>
        </w:sectPr>
      </w:pPr>
    </w:p>
    <w:p>
      <w:pPr>
        <w:pStyle w:val="Heading2"/>
        <w:tabs>
          <w:tab w:pos="1079" w:val="left" w:leader="none"/>
        </w:tabs>
        <w:spacing w:line="322" w:lineRule="exact" w:before="60"/>
        <w:rPr>
          <w:u w:val="none"/>
        </w:rPr>
      </w:pPr>
      <w:r>
        <w:rPr>
          <w:spacing w:val="-5"/>
          <w:u w:val="none"/>
        </w:rPr>
        <w:t>557</w:t>
      </w:r>
      <w:r>
        <w:rPr>
          <w:u w:val="none"/>
        </w:rPr>
        <w:tab/>
      </w:r>
      <w:r>
        <w:rPr>
          <w:u w:val="single"/>
        </w:rPr>
        <w:t>University</w:t>
      </w:r>
      <w:r>
        <w:rPr>
          <w:spacing w:val="-8"/>
          <w:u w:val="single"/>
        </w:rPr>
        <w:t> </w:t>
      </w:r>
      <w:r>
        <w:rPr>
          <w:u w:val="single"/>
        </w:rPr>
        <w:t>Dormitory</w:t>
      </w:r>
      <w:r>
        <w:rPr>
          <w:spacing w:val="-6"/>
          <w:u w:val="single"/>
        </w:rPr>
        <w:t> </w:t>
      </w:r>
      <w:r>
        <w:rPr>
          <w:u w:val="single"/>
        </w:rPr>
        <w:t>Revenue</w:t>
      </w:r>
      <w:r>
        <w:rPr>
          <w:spacing w:val="-5"/>
          <w:u w:val="single"/>
        </w:rPr>
        <w:t> </w:t>
      </w:r>
      <w:r>
        <w:rPr>
          <w:u w:val="single"/>
        </w:rPr>
        <w:t>Bond</w:t>
      </w:r>
      <w:r>
        <w:rPr>
          <w:spacing w:val="-5"/>
          <w:u w:val="single"/>
        </w:rPr>
        <w:t> </w:t>
      </w:r>
      <w:r>
        <w:rPr>
          <w:u w:val="single"/>
        </w:rPr>
        <w:t>Series</w:t>
      </w:r>
      <w:r>
        <w:rPr>
          <w:spacing w:val="-6"/>
          <w:u w:val="single"/>
        </w:rPr>
        <w:t> </w:t>
      </w:r>
      <w:r>
        <w:rPr>
          <w:u w:val="single"/>
        </w:rPr>
        <w:t>2021</w:t>
      </w:r>
      <w:r>
        <w:rPr>
          <w:spacing w:val="-4"/>
          <w:u w:val="single"/>
        </w:rPr>
        <w:t> </w:t>
      </w:r>
      <w:r>
        <w:rPr>
          <w:u w:val="single"/>
        </w:rPr>
        <w:t>(Gator</w:t>
      </w:r>
      <w:r>
        <w:rPr>
          <w:spacing w:val="-5"/>
          <w:u w:val="single"/>
        </w:rPr>
        <w:t> </w:t>
      </w:r>
      <w:r>
        <w:rPr>
          <w:spacing w:val="-2"/>
          <w:u w:val="single"/>
        </w:rPr>
        <w:t>Village)</w:t>
      </w:r>
    </w:p>
    <w:p>
      <w:pPr>
        <w:pStyle w:val="BodyText"/>
        <w:ind w:left="1079"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4"/>
        </w:rPr>
        <w:t> </w:t>
      </w:r>
      <w:r>
        <w:rPr/>
        <w:t>expenditures,</w:t>
      </w:r>
      <w:r>
        <w:rPr>
          <w:spacing w:val="-4"/>
        </w:rPr>
        <w:t> </w:t>
      </w:r>
      <w:r>
        <w:rPr/>
        <w:t>and</w:t>
      </w:r>
      <w:r>
        <w:rPr>
          <w:spacing w:val="-3"/>
        </w:rPr>
        <w:t> </w:t>
      </w:r>
      <w:r>
        <w:rPr/>
        <w:t>associated liabilities, from the construction activities to build the new Gator Village Residential </w:t>
      </w:r>
      <w:r>
        <w:rPr>
          <w:spacing w:val="-2"/>
        </w:rPr>
        <w:t>complex.</w:t>
      </w:r>
    </w:p>
    <w:p>
      <w:pPr>
        <w:pStyle w:val="BodyText"/>
        <w:ind w:left="0"/>
      </w:pPr>
    </w:p>
    <w:p>
      <w:pPr>
        <w:pStyle w:val="Heading2"/>
        <w:tabs>
          <w:tab w:pos="1079" w:val="left" w:leader="none"/>
        </w:tabs>
        <w:rPr>
          <w:u w:val="none"/>
        </w:rPr>
      </w:pPr>
      <w:r>
        <w:rPr>
          <w:spacing w:val="-5"/>
          <w:u w:val="none"/>
        </w:rPr>
        <w:t>563</w:t>
      </w:r>
      <w:r>
        <w:rPr>
          <w:u w:val="none"/>
        </w:rPr>
        <w:tab/>
      </w:r>
      <w:r>
        <w:rPr>
          <w:u w:val="single"/>
        </w:rPr>
        <w:t>University</w:t>
      </w:r>
      <w:r>
        <w:rPr>
          <w:spacing w:val="-6"/>
          <w:u w:val="single"/>
        </w:rPr>
        <w:t> </w:t>
      </w:r>
      <w:r>
        <w:rPr>
          <w:u w:val="single"/>
        </w:rPr>
        <w:t>Bond</w:t>
      </w:r>
      <w:r>
        <w:rPr>
          <w:spacing w:val="-6"/>
          <w:u w:val="single"/>
        </w:rPr>
        <w:t> </w:t>
      </w:r>
      <w:r>
        <w:rPr>
          <w:spacing w:val="-4"/>
          <w:u w:val="single"/>
        </w:rPr>
        <w:t>Issue</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from</w:t>
      </w:r>
      <w:r>
        <w:rPr>
          <w:spacing w:val="-5"/>
        </w:rPr>
        <w:t> </w:t>
      </w:r>
      <w:r>
        <w:rPr/>
        <w:t>the</w:t>
      </w:r>
      <w:r>
        <w:rPr>
          <w:spacing w:val="-3"/>
        </w:rPr>
        <w:t> </w:t>
      </w:r>
      <w:r>
        <w:rPr/>
        <w:t>proceed</w:t>
      </w:r>
      <w:r>
        <w:rPr>
          <w:spacing w:val="-4"/>
        </w:rPr>
        <w:t> </w:t>
      </w:r>
      <w:r>
        <w:rPr/>
        <w:t>of</w:t>
      </w:r>
      <w:r>
        <w:rPr>
          <w:spacing w:val="-3"/>
        </w:rPr>
        <w:t> </w:t>
      </w:r>
      <w:r>
        <w:rPr/>
        <w:t>the</w:t>
      </w:r>
      <w:r>
        <w:rPr>
          <w:spacing w:val="-5"/>
        </w:rPr>
        <w:t> </w:t>
      </w:r>
      <w:r>
        <w:rPr/>
        <w:t>University</w:t>
      </w:r>
      <w:r>
        <w:rPr>
          <w:spacing w:val="-2"/>
        </w:rPr>
        <w:t> </w:t>
      </w:r>
      <w:r>
        <w:rPr/>
        <w:t>of</w:t>
      </w:r>
      <w:r>
        <w:rPr>
          <w:spacing w:val="-3"/>
        </w:rPr>
        <w:t> </w:t>
      </w:r>
      <w:r>
        <w:rPr/>
        <w:t>Florida</w:t>
      </w:r>
      <w:r>
        <w:rPr>
          <w:spacing w:val="-3"/>
        </w:rPr>
        <w:t> </w:t>
      </w:r>
      <w:r>
        <w:rPr/>
        <w:t>Parking</w:t>
      </w:r>
      <w:r>
        <w:rPr>
          <w:spacing w:val="-2"/>
        </w:rPr>
        <w:t> </w:t>
      </w:r>
      <w:r>
        <w:rPr/>
        <w:t>Facilities Revenue Bond, Series 2018A</w:t>
      </w:r>
    </w:p>
    <w:p>
      <w:pPr>
        <w:pStyle w:val="Heading2"/>
        <w:tabs>
          <w:tab w:pos="1079" w:val="left" w:leader="none"/>
        </w:tabs>
        <w:spacing w:before="321"/>
        <w:rPr>
          <w:u w:val="none"/>
        </w:rPr>
      </w:pPr>
      <w:r>
        <w:rPr>
          <w:spacing w:val="-5"/>
          <w:u w:val="none"/>
        </w:rPr>
        <w:t>564</w:t>
      </w:r>
      <w:r>
        <w:rPr>
          <w:u w:val="none"/>
        </w:rPr>
        <w:tab/>
      </w:r>
      <w:r>
        <w:rPr>
          <w:u w:val="single"/>
        </w:rPr>
        <w:t>Lease</w:t>
      </w:r>
      <w:r>
        <w:rPr>
          <w:spacing w:val="-6"/>
          <w:u w:val="single"/>
        </w:rPr>
        <w:t> </w:t>
      </w:r>
      <w:r>
        <w:rPr>
          <w:u w:val="single"/>
        </w:rPr>
        <w:t>Purchase</w:t>
      </w:r>
      <w:r>
        <w:rPr>
          <w:spacing w:val="-5"/>
          <w:u w:val="single"/>
        </w:rPr>
        <w:t> </w:t>
      </w:r>
      <w:r>
        <w:rPr>
          <w:spacing w:val="-2"/>
          <w:u w:val="single"/>
        </w:rPr>
        <w:t>Agreements</w:t>
      </w:r>
    </w:p>
    <w:p>
      <w:pPr>
        <w:pStyle w:val="BodyText"/>
        <w:spacing w:before="2"/>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3"/>
        </w:rPr>
        <w:t> </w:t>
      </w:r>
      <w:r>
        <w:rPr/>
        <w:t>received</w:t>
      </w:r>
      <w:r>
        <w:rPr>
          <w:spacing w:val="-3"/>
        </w:rPr>
        <w:t> </w:t>
      </w:r>
      <w:r>
        <w:rPr/>
        <w:t>from</w:t>
      </w:r>
      <w:r>
        <w:rPr>
          <w:spacing w:val="-6"/>
        </w:rPr>
        <w:t> </w:t>
      </w:r>
      <w:r>
        <w:rPr/>
        <w:t>lease</w:t>
      </w:r>
      <w:r>
        <w:rPr>
          <w:spacing w:val="-4"/>
        </w:rPr>
        <w:t> </w:t>
      </w:r>
      <w:r>
        <w:rPr/>
        <w:t>purchase agreements and the associated expenditures and liabilities while in construction activity </w:t>
      </w:r>
      <w:r>
        <w:rPr>
          <w:spacing w:val="-2"/>
        </w:rPr>
        <w:t>stages.</w:t>
      </w:r>
    </w:p>
    <w:p>
      <w:pPr>
        <w:pStyle w:val="Heading2"/>
        <w:spacing w:before="320"/>
        <w:jc w:val="both"/>
        <w:rPr>
          <w:u w:val="none"/>
        </w:rPr>
      </w:pPr>
      <w:r>
        <w:rPr>
          <w:u w:val="none"/>
        </w:rPr>
        <w:t>565</w:t>
      </w:r>
      <w:r>
        <w:rPr>
          <w:spacing w:val="77"/>
          <w:u w:val="none"/>
        </w:rPr>
        <w:t>  </w:t>
      </w:r>
      <w:r>
        <w:rPr>
          <w:u w:val="single"/>
        </w:rPr>
        <w:t>Line</w:t>
      </w:r>
      <w:r>
        <w:rPr>
          <w:spacing w:val="-4"/>
          <w:u w:val="single"/>
        </w:rPr>
        <w:t> </w:t>
      </w:r>
      <w:r>
        <w:rPr>
          <w:u w:val="single"/>
        </w:rPr>
        <w:t>of</w:t>
      </w:r>
      <w:r>
        <w:rPr>
          <w:spacing w:val="-2"/>
          <w:u w:val="single"/>
        </w:rPr>
        <w:t> </w:t>
      </w:r>
      <w:r>
        <w:rPr>
          <w:u w:val="single"/>
        </w:rPr>
        <w:t>Credit</w:t>
      </w:r>
      <w:r>
        <w:rPr>
          <w:spacing w:val="-1"/>
          <w:u w:val="single"/>
        </w:rPr>
        <w:t> </w:t>
      </w:r>
      <w:r>
        <w:rPr>
          <w:spacing w:val="-2"/>
          <w:u w:val="single"/>
        </w:rPr>
        <w:t>Financing</w:t>
      </w:r>
    </w:p>
    <w:p>
      <w:pPr>
        <w:pStyle w:val="BodyText"/>
        <w:ind w:right="912"/>
        <w:jc w:val="both"/>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2"/>
        </w:rPr>
        <w:t> </w:t>
      </w:r>
      <w:r>
        <w:rPr/>
        <w:t>proceeds</w:t>
      </w:r>
      <w:r>
        <w:rPr>
          <w:spacing w:val="-3"/>
        </w:rPr>
        <w:t> </w:t>
      </w:r>
      <w:r>
        <w:rPr/>
        <w:t>received</w:t>
      </w:r>
      <w:r>
        <w:rPr>
          <w:spacing w:val="-3"/>
        </w:rPr>
        <w:t> </w:t>
      </w:r>
      <w:r>
        <w:rPr/>
        <w:t>from</w:t>
      </w:r>
      <w:r>
        <w:rPr>
          <w:spacing w:val="-4"/>
        </w:rPr>
        <w:t> </w:t>
      </w:r>
      <w:r>
        <w:rPr/>
        <w:t>Line</w:t>
      </w:r>
      <w:r>
        <w:rPr>
          <w:spacing w:val="-4"/>
        </w:rPr>
        <w:t> </w:t>
      </w:r>
      <w:r>
        <w:rPr/>
        <w:t>of</w:t>
      </w:r>
      <w:r>
        <w:rPr>
          <w:spacing w:val="-4"/>
        </w:rPr>
        <w:t> </w:t>
      </w:r>
      <w:r>
        <w:rPr/>
        <w:t>Credit financing agreements, the associated expenditures, and associated liabilities while in construction activity stages.</w:t>
      </w:r>
    </w:p>
    <w:p>
      <w:pPr>
        <w:pStyle w:val="BodyText"/>
        <w:spacing w:before="1"/>
        <w:ind w:left="0"/>
      </w:pPr>
    </w:p>
    <w:p>
      <w:pPr>
        <w:pStyle w:val="Heading2"/>
        <w:tabs>
          <w:tab w:pos="1079" w:val="left" w:leader="none"/>
        </w:tabs>
        <w:rPr>
          <w:u w:val="none"/>
        </w:rPr>
      </w:pPr>
      <w:r>
        <w:rPr>
          <w:spacing w:val="-5"/>
          <w:u w:val="none"/>
        </w:rPr>
        <w:t>57X</w:t>
      </w:r>
      <w:r>
        <w:rPr>
          <w:u w:val="none"/>
        </w:rPr>
        <w:tab/>
      </w:r>
      <w:r>
        <w:rPr>
          <w:u w:val="single"/>
        </w:rPr>
        <w:t>E&amp;G</w:t>
      </w:r>
      <w:r>
        <w:rPr>
          <w:spacing w:val="-8"/>
          <w:u w:val="single"/>
        </w:rPr>
        <w:t> </w:t>
      </w:r>
      <w:r>
        <w:rPr>
          <w:u w:val="single"/>
        </w:rPr>
        <w:t>Construction</w:t>
      </w:r>
      <w:r>
        <w:rPr>
          <w:spacing w:val="-5"/>
          <w:u w:val="single"/>
        </w:rPr>
        <w:t> </w:t>
      </w:r>
      <w:r>
        <w:rPr>
          <w:u w:val="single"/>
        </w:rPr>
        <w:t>(Fund</w:t>
      </w:r>
      <w:r>
        <w:rPr>
          <w:spacing w:val="-8"/>
          <w:u w:val="single"/>
        </w:rPr>
        <w:t> </w:t>
      </w:r>
      <w:r>
        <w:rPr>
          <w:u w:val="single"/>
        </w:rPr>
        <w:t>570-</w:t>
      </w:r>
      <w:r>
        <w:rPr>
          <w:spacing w:val="-4"/>
          <w:u w:val="single"/>
        </w:rPr>
        <w:t>579)</w:t>
      </w:r>
    </w:p>
    <w:p>
      <w:pPr>
        <w:pStyle w:val="BodyText"/>
        <w:ind w:right="352"/>
      </w:pPr>
      <w:r>
        <w:rPr/>
        <w:t>Monies in these funds are appropriated to the university by the State of Florida Legislature.</w:t>
      </w:r>
      <w:r>
        <w:rPr>
          <w:spacing w:val="-6"/>
        </w:rPr>
        <w:t> </w:t>
      </w:r>
      <w:r>
        <w:rPr/>
        <w:t>Expenditures</w:t>
      </w:r>
      <w:r>
        <w:rPr>
          <w:spacing w:val="-3"/>
        </w:rPr>
        <w:t> </w:t>
      </w:r>
      <w:r>
        <w:rPr/>
        <w:t>must</w:t>
      </w:r>
      <w:r>
        <w:rPr>
          <w:spacing w:val="-3"/>
        </w:rPr>
        <w:t> </w:t>
      </w:r>
      <w:r>
        <w:rPr/>
        <w:t>adhere</w:t>
      </w:r>
      <w:r>
        <w:rPr>
          <w:spacing w:val="-5"/>
        </w:rPr>
        <w:t> </w:t>
      </w:r>
      <w:r>
        <w:rPr/>
        <w:t>to</w:t>
      </w:r>
      <w:r>
        <w:rPr>
          <w:spacing w:val="-3"/>
        </w:rPr>
        <w:t> </w:t>
      </w:r>
      <w:r>
        <w:rPr/>
        <w:t>all</w:t>
      </w:r>
      <w:r>
        <w:rPr>
          <w:spacing w:val="-3"/>
        </w:rPr>
        <w:t> </w:t>
      </w:r>
      <w:r>
        <w:rPr/>
        <w:t>restrictions</w:t>
      </w:r>
      <w:r>
        <w:rPr>
          <w:spacing w:val="-3"/>
        </w:rPr>
        <w:t> </w:t>
      </w:r>
      <w:r>
        <w:rPr/>
        <w:t>set</w:t>
      </w:r>
      <w:r>
        <w:rPr>
          <w:spacing w:val="-3"/>
        </w:rPr>
        <w:t> </w:t>
      </w:r>
      <w:r>
        <w:rPr/>
        <w:t>by</w:t>
      </w:r>
      <w:r>
        <w:rPr>
          <w:spacing w:val="-3"/>
        </w:rPr>
        <w:t> </w:t>
      </w:r>
      <w:r>
        <w:rPr/>
        <w:t>the</w:t>
      </w:r>
      <w:r>
        <w:rPr>
          <w:spacing w:val="-4"/>
        </w:rPr>
        <w:t> </w:t>
      </w:r>
      <w:r>
        <w:rPr/>
        <w:t>State</w:t>
      </w:r>
      <w:r>
        <w:rPr>
          <w:spacing w:val="-5"/>
        </w:rPr>
        <w:t> </w:t>
      </w:r>
      <w:r>
        <w:rPr/>
        <w:t>of</w:t>
      </w:r>
      <w:r>
        <w:rPr>
          <w:spacing w:val="-4"/>
        </w:rPr>
        <w:t> </w:t>
      </w:r>
      <w:r>
        <w:rPr/>
        <w:t>Florida.</w:t>
      </w:r>
    </w:p>
    <w:p>
      <w:pPr>
        <w:pStyle w:val="BodyText"/>
        <w:spacing w:before="1"/>
        <w:ind w:left="0"/>
      </w:pPr>
    </w:p>
    <w:p>
      <w:pPr>
        <w:pStyle w:val="Heading2"/>
        <w:tabs>
          <w:tab w:pos="1079" w:val="left" w:leader="none"/>
        </w:tabs>
        <w:spacing w:line="322" w:lineRule="exact"/>
        <w:rPr>
          <w:u w:val="none"/>
        </w:rPr>
      </w:pPr>
      <w:r>
        <w:rPr>
          <w:spacing w:val="-5"/>
          <w:u w:val="none"/>
        </w:rPr>
        <w:t>580</w:t>
      </w:r>
      <w:r>
        <w:rPr>
          <w:u w:val="none"/>
        </w:rPr>
        <w:tab/>
      </w:r>
      <w:r>
        <w:rPr>
          <w:u w:val="single"/>
        </w:rPr>
        <w:t>Construction</w:t>
      </w:r>
      <w:r>
        <w:rPr>
          <w:spacing w:val="-7"/>
          <w:u w:val="single"/>
        </w:rPr>
        <w:t> </w:t>
      </w:r>
      <w:r>
        <w:rPr>
          <w:u w:val="single"/>
        </w:rPr>
        <w:t>–</w:t>
      </w:r>
      <w:r>
        <w:rPr>
          <w:spacing w:val="-4"/>
          <w:u w:val="single"/>
        </w:rPr>
        <w:t> </w:t>
      </w:r>
      <w:r>
        <w:rPr>
          <w:u w:val="single"/>
        </w:rPr>
        <w:t>E&amp;G</w:t>
      </w:r>
      <w:r>
        <w:rPr>
          <w:spacing w:val="-4"/>
          <w:u w:val="single"/>
        </w:rPr>
        <w:t> </w:t>
      </w:r>
      <w:r>
        <w:rPr>
          <w:spacing w:val="-2"/>
          <w:u w:val="single"/>
        </w:rPr>
        <w:t>Interest</w:t>
      </w:r>
    </w:p>
    <w:p>
      <w:pPr>
        <w:pStyle w:val="BodyText"/>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projects</w:t>
      </w:r>
      <w:r>
        <w:rPr>
          <w:spacing w:val="-3"/>
        </w:rPr>
        <w:t> </w:t>
      </w:r>
      <w:r>
        <w:rPr/>
        <w:t>funded</w:t>
      </w:r>
      <w:r>
        <w:rPr>
          <w:spacing w:val="-5"/>
        </w:rPr>
        <w:t> </w:t>
      </w:r>
      <w:r>
        <w:rPr/>
        <w:t>by</w:t>
      </w:r>
      <w:r>
        <w:rPr>
          <w:spacing w:val="-3"/>
        </w:rPr>
        <w:t> </w:t>
      </w:r>
      <w:r>
        <w:rPr/>
        <w:t>investment</w:t>
      </w:r>
      <w:r>
        <w:rPr>
          <w:spacing w:val="-5"/>
        </w:rPr>
        <w:t> </w:t>
      </w:r>
      <w:r>
        <w:rPr/>
        <w:t>earnings</w:t>
      </w:r>
      <w:r>
        <w:rPr>
          <w:spacing w:val="-3"/>
        </w:rPr>
        <w:t> </w:t>
      </w:r>
      <w:r>
        <w:rPr/>
        <w:t>on Appropriation monies. Expenditures must adhere to all restrictions set by the State of </w:t>
      </w:r>
      <w:r>
        <w:rPr>
          <w:spacing w:val="-2"/>
        </w:rPr>
        <w:t>Florida.</w:t>
      </w:r>
    </w:p>
    <w:p>
      <w:pPr>
        <w:pStyle w:val="Heading2"/>
        <w:tabs>
          <w:tab w:pos="1079" w:val="left" w:leader="none"/>
        </w:tabs>
        <w:spacing w:before="320"/>
        <w:rPr>
          <w:u w:val="none"/>
        </w:rPr>
      </w:pPr>
      <w:r>
        <w:rPr>
          <w:spacing w:val="-5"/>
          <w:u w:val="none"/>
        </w:rPr>
        <w:t>581</w:t>
      </w:r>
      <w:r>
        <w:rPr>
          <w:u w:val="none"/>
        </w:rPr>
        <w:tab/>
      </w:r>
      <w:r>
        <w:rPr>
          <w:u w:val="single"/>
        </w:rPr>
        <w:t>Infrastructure</w:t>
      </w:r>
      <w:r>
        <w:rPr>
          <w:spacing w:val="-9"/>
          <w:u w:val="single"/>
        </w:rPr>
        <w:t> </w:t>
      </w:r>
      <w:r>
        <w:rPr>
          <w:u w:val="single"/>
        </w:rPr>
        <w:t>Deferred</w:t>
      </w:r>
      <w:r>
        <w:rPr>
          <w:spacing w:val="-6"/>
          <w:u w:val="single"/>
        </w:rPr>
        <w:t> </w:t>
      </w:r>
      <w:r>
        <w:rPr>
          <w:u w:val="single"/>
        </w:rPr>
        <w:t>Maintenance</w:t>
      </w:r>
      <w:r>
        <w:rPr>
          <w:spacing w:val="-6"/>
          <w:u w:val="single"/>
        </w:rPr>
        <w:t> </w:t>
      </w:r>
      <w:r>
        <w:rPr>
          <w:u w:val="single"/>
        </w:rPr>
        <w:t>-</w:t>
      </w:r>
      <w:r>
        <w:rPr>
          <w:spacing w:val="-8"/>
          <w:u w:val="single"/>
        </w:rPr>
        <w:t> </w:t>
      </w:r>
      <w:r>
        <w:rPr>
          <w:spacing w:val="-2"/>
          <w:u w:val="single"/>
        </w:rPr>
        <w:t>Construction</w:t>
      </w:r>
    </w:p>
    <w:p>
      <w:pPr>
        <w:pStyle w:val="BodyText"/>
        <w:spacing w:before="2"/>
        <w:ind w:right="565"/>
      </w:pPr>
      <w:r>
        <w:rPr/>
        <w:t>Monies in this construction fund were provided from a contractual agreement between Duke</w:t>
      </w:r>
      <w:r>
        <w:rPr>
          <w:spacing w:val="-6"/>
        </w:rPr>
        <w:t> </w:t>
      </w:r>
      <w:r>
        <w:rPr/>
        <w:t>Energy</w:t>
      </w:r>
      <w:r>
        <w:rPr>
          <w:spacing w:val="-3"/>
        </w:rPr>
        <w:t> </w:t>
      </w:r>
      <w:r>
        <w:rPr/>
        <w:t>and</w:t>
      </w:r>
      <w:r>
        <w:rPr>
          <w:spacing w:val="-2"/>
        </w:rPr>
        <w:t> </w:t>
      </w:r>
      <w:r>
        <w:rPr/>
        <w:t>Business</w:t>
      </w:r>
      <w:r>
        <w:rPr>
          <w:spacing w:val="-5"/>
        </w:rPr>
        <w:t> </w:t>
      </w:r>
      <w:r>
        <w:rPr/>
        <w:t>Affairs.</w:t>
      </w:r>
      <w:r>
        <w:rPr>
          <w:spacing w:val="-4"/>
        </w:rPr>
        <w:t> </w:t>
      </w: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record</w:t>
      </w:r>
      <w:r>
        <w:rPr>
          <w:spacing w:val="-5"/>
        </w:rPr>
        <w:t> </w:t>
      </w:r>
      <w:r>
        <w:rPr/>
        <w:t>construction</w:t>
      </w:r>
      <w:r>
        <w:rPr>
          <w:spacing w:val="-3"/>
        </w:rPr>
        <w:t> </w:t>
      </w:r>
      <w:r>
        <w:rPr/>
        <w:t>expenses</w:t>
      </w:r>
      <w:r>
        <w:rPr>
          <w:spacing w:val="-3"/>
        </w:rPr>
        <w:t> </w:t>
      </w:r>
      <w:r>
        <w:rPr/>
        <w:t>as it relates to the UF utilities infrastructure.</w:t>
      </w:r>
    </w:p>
    <w:p>
      <w:pPr>
        <w:pStyle w:val="Heading2"/>
        <w:spacing w:before="320"/>
        <w:ind w:left="359"/>
        <w:jc w:val="both"/>
        <w:rPr>
          <w:u w:val="none"/>
        </w:rPr>
      </w:pPr>
      <w:r>
        <w:rPr>
          <w:u w:val="none"/>
        </w:rPr>
        <w:t>591</w:t>
      </w:r>
      <w:r>
        <w:rPr>
          <w:spacing w:val="76"/>
          <w:u w:val="none"/>
        </w:rPr>
        <w:t>  </w:t>
      </w:r>
      <w:r>
        <w:rPr>
          <w:u w:val="single"/>
        </w:rPr>
        <w:t>Insurance</w:t>
      </w:r>
      <w:r>
        <w:rPr>
          <w:spacing w:val="-1"/>
          <w:u w:val="single"/>
        </w:rPr>
        <w:t> </w:t>
      </w:r>
      <w:r>
        <w:rPr>
          <w:u w:val="single"/>
        </w:rPr>
        <w:t>and</w:t>
      </w:r>
      <w:r>
        <w:rPr>
          <w:spacing w:val="-2"/>
          <w:u w:val="single"/>
        </w:rPr>
        <w:t> Litigation</w:t>
      </w:r>
    </w:p>
    <w:p>
      <w:pPr>
        <w:pStyle w:val="BodyText"/>
        <w:ind w:right="352"/>
      </w:pPr>
      <w:r>
        <w:rPr/>
        <w:t>Monies in this fund come from proceeds of insurance or litigation settlements. These funds</w:t>
      </w:r>
      <w:r>
        <w:rPr>
          <w:spacing w:val="-2"/>
        </w:rPr>
        <w:t> </w:t>
      </w:r>
      <w:r>
        <w:rPr/>
        <w:t>are</w:t>
      </w:r>
      <w:r>
        <w:rPr>
          <w:spacing w:val="-5"/>
        </w:rPr>
        <w:t> </w:t>
      </w:r>
      <w:r>
        <w:rPr/>
        <w:t>used</w:t>
      </w:r>
      <w:r>
        <w:rPr>
          <w:spacing w:val="-4"/>
        </w:rPr>
        <w:t> </w:t>
      </w:r>
      <w:r>
        <w:rPr/>
        <w:t>to</w:t>
      </w:r>
      <w:r>
        <w:rPr>
          <w:spacing w:val="-1"/>
        </w:rPr>
        <w:t> </w:t>
      </w:r>
      <w:r>
        <w:rPr/>
        <w:t>finance</w:t>
      </w:r>
      <w:r>
        <w:rPr>
          <w:spacing w:val="-3"/>
        </w:rPr>
        <w:t> </w:t>
      </w:r>
      <w:r>
        <w:rPr/>
        <w:t>repairs,</w:t>
      </w:r>
      <w:r>
        <w:rPr>
          <w:spacing w:val="-3"/>
        </w:rPr>
        <w:t> </w:t>
      </w:r>
      <w:r>
        <w:rPr/>
        <w:t>maintenance</w:t>
      </w:r>
      <w:r>
        <w:rPr>
          <w:spacing w:val="-5"/>
        </w:rPr>
        <w:t> </w:t>
      </w:r>
      <w:r>
        <w:rPr/>
        <w:t>or</w:t>
      </w:r>
      <w:r>
        <w:rPr>
          <w:spacing w:val="-3"/>
        </w:rPr>
        <w:t> </w:t>
      </w:r>
      <w:r>
        <w:rPr/>
        <w:t>renovations</w:t>
      </w:r>
      <w:r>
        <w:rPr>
          <w:spacing w:val="-4"/>
        </w:rPr>
        <w:t> </w:t>
      </w:r>
      <w:r>
        <w:rPr/>
        <w:t>of</w:t>
      </w:r>
      <w:r>
        <w:rPr>
          <w:spacing w:val="-5"/>
        </w:rPr>
        <w:t> </w:t>
      </w:r>
      <w:r>
        <w:rPr/>
        <w:t>long-lasting</w:t>
      </w:r>
      <w:r>
        <w:rPr>
          <w:spacing w:val="-2"/>
        </w:rPr>
        <w:t> </w:t>
      </w:r>
      <w:r>
        <w:rPr/>
        <w:t>plant</w:t>
      </w:r>
      <w:r>
        <w:rPr>
          <w:spacing w:val="-2"/>
        </w:rPr>
        <w:t> </w:t>
      </w:r>
      <w:r>
        <w:rPr/>
        <w:t>assets.</w:t>
      </w:r>
    </w:p>
    <w:p>
      <w:pPr>
        <w:pStyle w:val="BodyText"/>
        <w:spacing w:before="1"/>
        <w:ind w:left="0"/>
      </w:pPr>
    </w:p>
    <w:p>
      <w:pPr>
        <w:pStyle w:val="Heading2"/>
        <w:tabs>
          <w:tab w:pos="1079" w:val="left" w:leader="none"/>
        </w:tabs>
        <w:spacing w:line="322" w:lineRule="exact" w:before="1"/>
        <w:ind w:left="359"/>
        <w:rPr>
          <w:u w:val="none"/>
        </w:rPr>
      </w:pPr>
      <w:r>
        <w:rPr>
          <w:spacing w:val="-5"/>
          <w:u w:val="none"/>
        </w:rPr>
        <w:t>594</w:t>
      </w:r>
      <w:r>
        <w:rPr>
          <w:u w:val="none"/>
        </w:rPr>
        <w:tab/>
      </w:r>
      <w:r>
        <w:rPr>
          <w:u w:val="single"/>
        </w:rPr>
        <w:t>Federal</w:t>
      </w:r>
      <w:r>
        <w:rPr>
          <w:spacing w:val="-6"/>
          <w:u w:val="single"/>
        </w:rPr>
        <w:t> </w:t>
      </w:r>
      <w:r>
        <w:rPr>
          <w:u w:val="single"/>
        </w:rPr>
        <w:t>Sponsored</w:t>
      </w:r>
      <w:r>
        <w:rPr>
          <w:spacing w:val="-9"/>
          <w:u w:val="single"/>
        </w:rPr>
        <w:t> </w:t>
      </w:r>
      <w:r>
        <w:rPr>
          <w:spacing w:val="-2"/>
          <w:u w:val="single"/>
        </w:rPr>
        <w:t>Construction</w:t>
      </w:r>
    </w:p>
    <w:p>
      <w:pPr>
        <w:pStyle w:val="BodyText"/>
        <w:ind w:right="403"/>
      </w:pPr>
      <w:r>
        <w:rPr/>
        <w:t>Monies in this fund come directly from Federal Sponsored Grants and Contracts to the University.</w:t>
      </w:r>
      <w:r>
        <w:rPr>
          <w:spacing w:val="-6"/>
        </w:rPr>
        <w:t> </w:t>
      </w:r>
      <w:r>
        <w:rPr/>
        <w:t>This</w:t>
      </w:r>
      <w:r>
        <w:rPr>
          <w:spacing w:val="-2"/>
        </w:rPr>
        <w:t> </w:t>
      </w:r>
      <w:r>
        <w:rPr/>
        <w:t>is</w:t>
      </w:r>
      <w:r>
        <w:rPr>
          <w:spacing w:val="-2"/>
        </w:rPr>
        <w:t> </w:t>
      </w:r>
      <w:r>
        <w:rPr/>
        <w:t>used</w:t>
      </w:r>
      <w:r>
        <w:rPr>
          <w:spacing w:val="-2"/>
        </w:rPr>
        <w:t> </w:t>
      </w:r>
      <w:r>
        <w:rPr/>
        <w:t>to</w:t>
      </w:r>
      <w:r>
        <w:rPr>
          <w:spacing w:val="-2"/>
        </w:rPr>
        <w:t> </w:t>
      </w:r>
      <w:r>
        <w:rPr/>
        <w:t>finance</w:t>
      </w:r>
      <w:r>
        <w:rPr>
          <w:spacing w:val="-5"/>
        </w:rPr>
        <w:t> </w:t>
      </w:r>
      <w:r>
        <w:rPr/>
        <w:t>the</w:t>
      </w:r>
      <w:r>
        <w:rPr>
          <w:spacing w:val="-3"/>
        </w:rPr>
        <w:t> </w:t>
      </w:r>
      <w:r>
        <w:rPr/>
        <w:t>acquisition,</w:t>
      </w:r>
      <w:r>
        <w:rPr>
          <w:spacing w:val="-3"/>
        </w:rPr>
        <w:t> </w:t>
      </w:r>
      <w:r>
        <w:rPr/>
        <w:t>repairs,</w:t>
      </w:r>
      <w:r>
        <w:rPr>
          <w:spacing w:val="-3"/>
        </w:rPr>
        <w:t> </w:t>
      </w:r>
      <w:r>
        <w:rPr/>
        <w:t>renovations,</w:t>
      </w:r>
      <w:r>
        <w:rPr>
          <w:spacing w:val="-3"/>
        </w:rPr>
        <w:t> </w:t>
      </w:r>
      <w:r>
        <w:rPr/>
        <w:t>or</w:t>
      </w:r>
      <w:r>
        <w:rPr>
          <w:spacing w:val="-3"/>
        </w:rPr>
        <w:t> </w:t>
      </w:r>
      <w:r>
        <w:rPr/>
        <w:t>construction</w:t>
      </w:r>
      <w:r>
        <w:rPr>
          <w:spacing w:val="-4"/>
        </w:rPr>
        <w:t> </w:t>
      </w:r>
      <w:r>
        <w:rPr/>
        <w:t>of long-lasting plant assets per the contract/grant terms. Expenditures must adhere to all restrictions set by the contract or grant.</w:t>
      </w:r>
    </w:p>
    <w:p>
      <w:pPr>
        <w:pStyle w:val="BodyText"/>
        <w:spacing w:after="0"/>
        <w:sectPr>
          <w:pgSz w:w="12240" w:h="15840"/>
          <w:pgMar w:header="0" w:footer="672" w:top="660" w:bottom="940" w:left="360" w:right="360"/>
        </w:sectPr>
      </w:pPr>
    </w:p>
    <w:p>
      <w:pPr>
        <w:pStyle w:val="Heading2"/>
        <w:tabs>
          <w:tab w:pos="1079" w:val="left" w:leader="none"/>
        </w:tabs>
        <w:spacing w:line="322" w:lineRule="exact" w:before="60"/>
        <w:rPr>
          <w:u w:val="none"/>
        </w:rPr>
      </w:pPr>
      <w:r>
        <w:rPr>
          <w:spacing w:val="-5"/>
          <w:u w:val="none"/>
        </w:rPr>
        <w:t>595</w:t>
      </w:r>
      <w:r>
        <w:rPr>
          <w:u w:val="none"/>
        </w:rPr>
        <w:tab/>
      </w:r>
      <w:r>
        <w:rPr>
          <w:u w:val="single"/>
        </w:rPr>
        <w:t>Non-Federal</w:t>
      </w:r>
      <w:r>
        <w:rPr>
          <w:spacing w:val="-12"/>
          <w:u w:val="single"/>
        </w:rPr>
        <w:t> </w:t>
      </w:r>
      <w:r>
        <w:rPr>
          <w:u w:val="single"/>
        </w:rPr>
        <w:t>Sponsored-Cost</w:t>
      </w:r>
      <w:r>
        <w:rPr>
          <w:spacing w:val="-9"/>
          <w:u w:val="single"/>
        </w:rPr>
        <w:t> </w:t>
      </w:r>
      <w:r>
        <w:rPr>
          <w:spacing w:val="-2"/>
          <w:u w:val="single"/>
        </w:rPr>
        <w:t>Reimbursement</w:t>
      </w:r>
    </w:p>
    <w:p>
      <w:pPr>
        <w:pStyle w:val="BodyText"/>
        <w:ind w:left="1079" w:right="473"/>
      </w:pPr>
      <w:r>
        <w:rPr/>
        <w:t>Monies in this fund come from Non-Federal Sponsored Grants and Contracts to the University.</w:t>
      </w:r>
      <w:r>
        <w:rPr>
          <w:spacing w:val="-6"/>
        </w:rPr>
        <w:t> </w:t>
      </w:r>
      <w:r>
        <w:rPr/>
        <w:t>This</w:t>
      </w:r>
      <w:r>
        <w:rPr>
          <w:spacing w:val="-2"/>
        </w:rPr>
        <w:t> </w:t>
      </w:r>
      <w:r>
        <w:rPr/>
        <w:t>is</w:t>
      </w:r>
      <w:r>
        <w:rPr>
          <w:spacing w:val="-2"/>
        </w:rPr>
        <w:t> </w:t>
      </w:r>
      <w:r>
        <w:rPr/>
        <w:t>used</w:t>
      </w:r>
      <w:r>
        <w:rPr>
          <w:spacing w:val="-2"/>
        </w:rPr>
        <w:t> </w:t>
      </w:r>
      <w:r>
        <w:rPr/>
        <w:t>to</w:t>
      </w:r>
      <w:r>
        <w:rPr>
          <w:spacing w:val="-2"/>
        </w:rPr>
        <w:t> </w:t>
      </w:r>
      <w:r>
        <w:rPr/>
        <w:t>finance</w:t>
      </w:r>
      <w:r>
        <w:rPr>
          <w:spacing w:val="-5"/>
        </w:rPr>
        <w:t> </w:t>
      </w:r>
      <w:r>
        <w:rPr/>
        <w:t>the</w:t>
      </w:r>
      <w:r>
        <w:rPr>
          <w:spacing w:val="-3"/>
        </w:rPr>
        <w:t> </w:t>
      </w:r>
      <w:r>
        <w:rPr/>
        <w:t>acquisition,</w:t>
      </w:r>
      <w:r>
        <w:rPr>
          <w:spacing w:val="-3"/>
        </w:rPr>
        <w:t> </w:t>
      </w:r>
      <w:r>
        <w:rPr/>
        <w:t>repairs,</w:t>
      </w:r>
      <w:r>
        <w:rPr>
          <w:spacing w:val="-3"/>
        </w:rPr>
        <w:t> </w:t>
      </w:r>
      <w:r>
        <w:rPr/>
        <w:t>renovations</w:t>
      </w:r>
      <w:r>
        <w:rPr>
          <w:spacing w:val="-2"/>
        </w:rPr>
        <w:t> </w:t>
      </w:r>
      <w:r>
        <w:rPr/>
        <w:t>or</w:t>
      </w:r>
      <w:r>
        <w:rPr>
          <w:spacing w:val="-3"/>
        </w:rPr>
        <w:t> </w:t>
      </w:r>
      <w:r>
        <w:rPr/>
        <w:t>construction</w:t>
      </w:r>
      <w:r>
        <w:rPr>
          <w:spacing w:val="-2"/>
        </w:rPr>
        <w:t> </w:t>
      </w:r>
      <w:r>
        <w:rPr/>
        <w:t>of long-lasting plant assets. Expenditures must adhere to all restrictions set by the contract or grant.</w:t>
      </w:r>
    </w:p>
    <w:p>
      <w:pPr>
        <w:pStyle w:val="BodyText"/>
        <w:ind w:left="0"/>
      </w:pPr>
    </w:p>
    <w:p>
      <w:pPr>
        <w:pStyle w:val="Heading2"/>
        <w:tabs>
          <w:tab w:pos="1079" w:val="left" w:leader="none"/>
        </w:tabs>
        <w:rPr>
          <w:u w:val="none"/>
        </w:rPr>
      </w:pPr>
      <w:r>
        <w:rPr>
          <w:spacing w:val="-5"/>
          <w:u w:val="none"/>
        </w:rPr>
        <w:t>599</w:t>
      </w:r>
      <w:r>
        <w:rPr>
          <w:u w:val="none"/>
        </w:rPr>
        <w:tab/>
      </w:r>
      <w:r>
        <w:rPr>
          <w:u w:val="single"/>
        </w:rPr>
        <w:t>Other</w:t>
      </w:r>
      <w:r>
        <w:rPr>
          <w:spacing w:val="-6"/>
          <w:u w:val="single"/>
        </w:rPr>
        <w:t> </w:t>
      </w:r>
      <w:r>
        <w:rPr>
          <w:u w:val="single"/>
        </w:rPr>
        <w:t>Funding</w:t>
      </w:r>
      <w:r>
        <w:rPr>
          <w:spacing w:val="-5"/>
          <w:u w:val="single"/>
        </w:rPr>
        <w:t> </w:t>
      </w:r>
      <w:r>
        <w:rPr>
          <w:u w:val="single"/>
        </w:rPr>
        <w:t>Sources</w:t>
      </w:r>
      <w:r>
        <w:rPr>
          <w:spacing w:val="-7"/>
          <w:u w:val="single"/>
        </w:rPr>
        <w:t> </w:t>
      </w:r>
      <w:r>
        <w:rPr>
          <w:u w:val="single"/>
        </w:rPr>
        <w:t>Construction</w:t>
      </w:r>
      <w:r>
        <w:rPr>
          <w:spacing w:val="-8"/>
          <w:u w:val="single"/>
        </w:rPr>
        <w:t> </w:t>
      </w:r>
      <w:r>
        <w:rPr>
          <w:spacing w:val="-4"/>
          <w:u w:val="single"/>
        </w:rPr>
        <w:t>Fund</w:t>
      </w:r>
      <w:r>
        <w:rPr>
          <w:spacing w:val="69"/>
          <w:u w:val="single"/>
        </w:rPr>
        <w:t> </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from</w:t>
      </w:r>
      <w:r>
        <w:rPr>
          <w:spacing w:val="-5"/>
        </w:rPr>
        <w:t> </w:t>
      </w:r>
      <w:r>
        <w:rPr/>
        <w:t>University</w:t>
      </w:r>
      <w:r>
        <w:rPr>
          <w:spacing w:val="-2"/>
        </w:rPr>
        <w:t> </w:t>
      </w:r>
      <w:r>
        <w:rPr/>
        <w:t>departments</w:t>
      </w:r>
      <w:r>
        <w:rPr>
          <w:spacing w:val="-2"/>
        </w:rPr>
        <w:t> </w:t>
      </w:r>
      <w:r>
        <w:rPr/>
        <w:t>to</w:t>
      </w:r>
      <w:r>
        <w:rPr>
          <w:spacing w:val="-2"/>
        </w:rPr>
        <w:t> </w:t>
      </w:r>
      <w:r>
        <w:rPr/>
        <w:t>finance</w:t>
      </w:r>
      <w:r>
        <w:rPr>
          <w:spacing w:val="-3"/>
        </w:rPr>
        <w:t> </w:t>
      </w:r>
      <w:r>
        <w:rPr/>
        <w:t>capital</w:t>
      </w:r>
      <w:r>
        <w:rPr>
          <w:spacing w:val="-4"/>
        </w:rPr>
        <w:t> </w:t>
      </w:r>
      <w:r>
        <w:rPr/>
        <w:t>projects,</w:t>
      </w:r>
      <w:r>
        <w:rPr>
          <w:spacing w:val="-3"/>
        </w:rPr>
        <w:t> </w:t>
      </w:r>
      <w:r>
        <w:rPr/>
        <w:t>repairs</w:t>
      </w:r>
      <w:r>
        <w:rPr>
          <w:spacing w:val="-2"/>
        </w:rPr>
        <w:t> </w:t>
      </w:r>
      <w:r>
        <w:rPr/>
        <w:t>or renovations of long-lasting plant assets. The monies in this fund are derived from private donations, recharge center support (auxiliary), research indirect cost returns, research residual funding from contracts and grants, strategic funds, and any other funding source that is NOT Education and General, Sponsored Contracts and Grants, Bonds or State Appropriated construction funding support.</w:t>
      </w:r>
    </w:p>
    <w:p>
      <w:pPr>
        <w:pStyle w:val="Heading1"/>
        <w:spacing w:before="320"/>
      </w:pPr>
      <w:r>
        <w:rPr/>
        <w:t>Repairs</w:t>
      </w:r>
      <w:r>
        <w:rPr>
          <w:spacing w:val="-11"/>
        </w:rPr>
        <w:t> </w:t>
      </w:r>
      <w:r>
        <w:rPr/>
        <w:t>and</w:t>
      </w:r>
      <w:r>
        <w:rPr>
          <w:spacing w:val="-11"/>
        </w:rPr>
        <w:t> </w:t>
      </w:r>
      <w:r>
        <w:rPr/>
        <w:t>Replacement</w:t>
      </w:r>
      <w:r>
        <w:rPr>
          <w:spacing w:val="-10"/>
        </w:rPr>
        <w:t> </w:t>
      </w:r>
      <w:r>
        <w:rPr>
          <w:spacing w:val="-2"/>
        </w:rPr>
        <w:t>Funds</w:t>
      </w:r>
    </w:p>
    <w:p>
      <w:pPr>
        <w:pStyle w:val="BodyText"/>
        <w:spacing w:before="2"/>
        <w:ind w:left="0"/>
        <w:rPr>
          <w:b/>
          <w:sz w:val="32"/>
        </w:rPr>
      </w:pPr>
    </w:p>
    <w:p>
      <w:pPr>
        <w:pStyle w:val="Heading2"/>
        <w:tabs>
          <w:tab w:pos="1079" w:val="left" w:leader="none"/>
        </w:tabs>
        <w:spacing w:line="322" w:lineRule="exact"/>
        <w:rPr>
          <w:u w:val="none"/>
        </w:rPr>
      </w:pPr>
      <w:r>
        <w:rPr>
          <w:spacing w:val="-5"/>
          <w:u w:val="none"/>
        </w:rPr>
        <w:t>601</w:t>
      </w:r>
      <w:r>
        <w:rPr>
          <w:u w:val="none"/>
        </w:rPr>
        <w:tab/>
      </w:r>
      <w:r>
        <w:rPr>
          <w:u w:val="single"/>
        </w:rPr>
        <w:t>R&amp;R-Housing</w:t>
      </w:r>
      <w:r>
        <w:rPr>
          <w:spacing w:val="-11"/>
          <w:u w:val="single"/>
        </w:rPr>
        <w:t> </w:t>
      </w:r>
      <w:r>
        <w:rPr>
          <w:spacing w:val="-4"/>
          <w:u w:val="single"/>
        </w:rPr>
        <w:t>Fund</w:t>
      </w:r>
    </w:p>
    <w:p>
      <w:pPr>
        <w:pStyle w:val="BodyText"/>
        <w:ind w:right="352" w:hanging="1"/>
      </w:pPr>
      <w:r>
        <w:rPr/>
        <w:t>This fund is used to record the repair and replacement of Housing capital assets at the University</w:t>
      </w:r>
      <w:r>
        <w:rPr>
          <w:spacing w:val="-4"/>
        </w:rPr>
        <w:t> </w:t>
      </w:r>
      <w:r>
        <w:rPr/>
        <w:t>of</w:t>
      </w:r>
      <w:r>
        <w:rPr>
          <w:spacing w:val="-3"/>
        </w:rPr>
        <w:t> </w:t>
      </w:r>
      <w:r>
        <w:rPr/>
        <w:t>Florida.</w:t>
      </w:r>
      <w:r>
        <w:rPr>
          <w:spacing w:val="-5"/>
        </w:rPr>
        <w:t> </w:t>
      </w:r>
      <w:r>
        <w:rPr/>
        <w:t>Funding</w:t>
      </w:r>
      <w:r>
        <w:rPr>
          <w:spacing w:val="-2"/>
        </w:rPr>
        <w:t> </w:t>
      </w:r>
      <w:r>
        <w:rPr/>
        <w:t>is</w:t>
      </w:r>
      <w:r>
        <w:rPr>
          <w:spacing w:val="-2"/>
        </w:rPr>
        <w:t> </w:t>
      </w:r>
      <w:r>
        <w:rPr/>
        <w:t>provided</w:t>
      </w:r>
      <w:r>
        <w:rPr>
          <w:spacing w:val="-4"/>
        </w:rPr>
        <w:t> </w:t>
      </w:r>
      <w:r>
        <w:rPr/>
        <w:t>by</w:t>
      </w:r>
      <w:r>
        <w:rPr>
          <w:spacing w:val="-4"/>
        </w:rPr>
        <w:t> </w:t>
      </w:r>
      <w:r>
        <w:rPr/>
        <w:t>Transfers</w:t>
      </w:r>
      <w:r>
        <w:rPr>
          <w:spacing w:val="-2"/>
        </w:rPr>
        <w:t> </w:t>
      </w:r>
      <w:r>
        <w:rPr/>
        <w:t>from</w:t>
      </w:r>
      <w:r>
        <w:rPr>
          <w:spacing w:val="-3"/>
        </w:rPr>
        <w:t> </w:t>
      </w:r>
      <w:r>
        <w:rPr/>
        <w:t>the</w:t>
      </w:r>
      <w:r>
        <w:rPr>
          <w:spacing w:val="-5"/>
        </w:rPr>
        <w:t> </w:t>
      </w:r>
      <w:r>
        <w:rPr/>
        <w:t>Housing</w:t>
      </w:r>
      <w:r>
        <w:rPr>
          <w:spacing w:val="-4"/>
        </w:rPr>
        <w:t> </w:t>
      </w:r>
      <w:r>
        <w:rPr/>
        <w:t>Auxiliary</w:t>
      </w:r>
      <w:r>
        <w:rPr>
          <w:spacing w:val="-2"/>
        </w:rPr>
        <w:t> </w:t>
      </w:r>
      <w:r>
        <w:rPr/>
        <w:t>Fund </w:t>
      </w:r>
      <w:r>
        <w:rPr>
          <w:spacing w:val="-2"/>
        </w:rPr>
        <w:t>(147).</w:t>
      </w:r>
    </w:p>
    <w:p>
      <w:pPr>
        <w:pStyle w:val="BodyText"/>
        <w:spacing w:before="47"/>
        <w:ind w:left="0"/>
      </w:pPr>
    </w:p>
    <w:p>
      <w:pPr>
        <w:pStyle w:val="Heading2"/>
        <w:tabs>
          <w:tab w:pos="1079" w:val="left" w:leader="none"/>
        </w:tabs>
        <w:spacing w:line="322" w:lineRule="exact"/>
        <w:rPr>
          <w:u w:val="none"/>
        </w:rPr>
      </w:pPr>
      <w:r>
        <w:rPr>
          <w:spacing w:val="-5"/>
          <w:u w:val="none"/>
        </w:rPr>
        <w:t>611</w:t>
      </w:r>
      <w:r>
        <w:rPr>
          <w:u w:val="none"/>
        </w:rPr>
        <w:tab/>
      </w:r>
      <w:r>
        <w:rPr>
          <w:u w:val="single"/>
        </w:rPr>
        <w:t>R&amp;R-Traffic</w:t>
      </w:r>
      <w:r>
        <w:rPr>
          <w:spacing w:val="-5"/>
          <w:u w:val="single"/>
        </w:rPr>
        <w:t> </w:t>
      </w:r>
      <w:r>
        <w:rPr>
          <w:u w:val="single"/>
        </w:rPr>
        <w:t>&amp;</w:t>
      </w:r>
      <w:r>
        <w:rPr>
          <w:spacing w:val="-5"/>
          <w:u w:val="single"/>
        </w:rPr>
        <w:t> </w:t>
      </w:r>
      <w:r>
        <w:rPr>
          <w:spacing w:val="-2"/>
          <w:u w:val="single"/>
        </w:rPr>
        <w:t>Parking</w:t>
      </w:r>
    </w:p>
    <w:p>
      <w:pPr>
        <w:pStyle w:val="BodyText"/>
      </w:pPr>
      <w:r>
        <w:rPr/>
        <w:t>Funding</w:t>
      </w:r>
      <w:r>
        <w:rPr>
          <w:spacing w:val="-4"/>
        </w:rPr>
        <w:t> </w:t>
      </w:r>
      <w:r>
        <w:rPr/>
        <w:t>is</w:t>
      </w:r>
      <w:r>
        <w:rPr>
          <w:spacing w:val="-5"/>
        </w:rPr>
        <w:t> </w:t>
      </w:r>
      <w:r>
        <w:rPr/>
        <w:t>provided</w:t>
      </w:r>
      <w:r>
        <w:rPr>
          <w:spacing w:val="-5"/>
        </w:rPr>
        <w:t> </w:t>
      </w:r>
      <w:r>
        <w:rPr/>
        <w:t>by</w:t>
      </w:r>
      <w:r>
        <w:rPr>
          <w:spacing w:val="-5"/>
        </w:rPr>
        <w:t> </w:t>
      </w:r>
      <w:r>
        <w:rPr/>
        <w:t>Transfers</w:t>
      </w:r>
      <w:r>
        <w:rPr>
          <w:spacing w:val="-4"/>
        </w:rPr>
        <w:t> </w:t>
      </w:r>
      <w:r>
        <w:rPr/>
        <w:t>from</w:t>
      </w:r>
      <w:r>
        <w:rPr>
          <w:spacing w:val="-4"/>
        </w:rPr>
        <w:t> </w:t>
      </w:r>
      <w:r>
        <w:rPr/>
        <w:t>the</w:t>
      </w:r>
      <w:r>
        <w:rPr>
          <w:spacing w:val="-6"/>
        </w:rPr>
        <w:t> </w:t>
      </w:r>
      <w:r>
        <w:rPr/>
        <w:t>Traffic</w:t>
      </w:r>
      <w:r>
        <w:rPr>
          <w:spacing w:val="-4"/>
        </w:rPr>
        <w:t> </w:t>
      </w:r>
      <w:r>
        <w:rPr/>
        <w:t>and</w:t>
      </w:r>
      <w:r>
        <w:rPr>
          <w:spacing w:val="-4"/>
        </w:rPr>
        <w:t> </w:t>
      </w:r>
      <w:r>
        <w:rPr/>
        <w:t>Parking</w:t>
      </w:r>
      <w:r>
        <w:rPr>
          <w:spacing w:val="-5"/>
        </w:rPr>
        <w:t> </w:t>
      </w:r>
      <w:r>
        <w:rPr/>
        <w:t>Auxiliary</w:t>
      </w:r>
      <w:r>
        <w:rPr>
          <w:spacing w:val="-3"/>
        </w:rPr>
        <w:t> </w:t>
      </w:r>
      <w:r>
        <w:rPr/>
        <w:t>Fund</w:t>
      </w:r>
      <w:r>
        <w:rPr>
          <w:spacing w:val="-3"/>
        </w:rPr>
        <w:t> </w:t>
      </w:r>
      <w:r>
        <w:rPr>
          <w:spacing w:val="-2"/>
        </w:rPr>
        <w:t>(142).</w:t>
      </w:r>
    </w:p>
    <w:p>
      <w:pPr>
        <w:pStyle w:val="BodyText"/>
        <w:spacing w:before="43"/>
        <w:ind w:left="0"/>
      </w:pPr>
    </w:p>
    <w:p>
      <w:pPr>
        <w:pStyle w:val="Heading1"/>
        <w:ind w:left="359"/>
      </w:pPr>
      <w:r>
        <w:rPr/>
        <w:t>Capital</w:t>
      </w:r>
      <w:r>
        <w:rPr>
          <w:spacing w:val="-10"/>
        </w:rPr>
        <w:t> </w:t>
      </w:r>
      <w:r>
        <w:rPr/>
        <w:t>Interest</w:t>
      </w:r>
      <w:r>
        <w:rPr>
          <w:spacing w:val="-10"/>
        </w:rPr>
        <w:t> </w:t>
      </w:r>
      <w:r>
        <w:rPr/>
        <w:t>and</w:t>
      </w:r>
      <w:r>
        <w:rPr>
          <w:spacing w:val="-9"/>
        </w:rPr>
        <w:t> </w:t>
      </w:r>
      <w:r>
        <w:rPr/>
        <w:t>Sinking</w:t>
      </w:r>
      <w:r>
        <w:rPr>
          <w:spacing w:val="-7"/>
        </w:rPr>
        <w:t> </w:t>
      </w:r>
      <w:r>
        <w:rPr>
          <w:spacing w:val="-4"/>
        </w:rPr>
        <w:t>Funds</w:t>
      </w:r>
    </w:p>
    <w:p>
      <w:pPr>
        <w:pStyle w:val="BodyText"/>
        <w:spacing w:before="3"/>
        <w:ind w:left="360" w:right="352"/>
      </w:pPr>
      <w:r>
        <w:rPr/>
        <w:t>The</w:t>
      </w:r>
      <w:r>
        <w:rPr>
          <w:spacing w:val="-3"/>
        </w:rPr>
        <w:t> </w:t>
      </w:r>
      <w:r>
        <w:rPr/>
        <w:t>purpose</w:t>
      </w:r>
      <w:r>
        <w:rPr>
          <w:spacing w:val="-5"/>
        </w:rPr>
        <w:t> </w:t>
      </w:r>
      <w:r>
        <w:rPr/>
        <w:t>of</w:t>
      </w:r>
      <w:r>
        <w:rPr>
          <w:spacing w:val="-3"/>
        </w:rPr>
        <w:t> </w:t>
      </w:r>
      <w:r>
        <w:rPr/>
        <w:t>this</w:t>
      </w:r>
      <w:r>
        <w:rPr>
          <w:spacing w:val="-2"/>
        </w:rPr>
        <w:t> </w:t>
      </w:r>
      <w:r>
        <w:rPr/>
        <w:t>fund</w:t>
      </w:r>
      <w:r>
        <w:rPr>
          <w:spacing w:val="-2"/>
        </w:rPr>
        <w:t> </w:t>
      </w:r>
      <w:r>
        <w:rPr/>
        <w:t>group</w:t>
      </w:r>
      <w:r>
        <w:rPr>
          <w:spacing w:val="-2"/>
        </w:rPr>
        <w:t> </w:t>
      </w:r>
      <w:r>
        <w:rPr/>
        <w:t>is</w:t>
      </w:r>
      <w:r>
        <w:rPr>
          <w:spacing w:val="-2"/>
        </w:rPr>
        <w:t> </w:t>
      </w:r>
      <w:r>
        <w:rPr/>
        <w:t>to</w:t>
      </w:r>
      <w:r>
        <w:rPr>
          <w:spacing w:val="-2"/>
        </w:rPr>
        <w:t> </w:t>
      </w:r>
      <w:r>
        <w:rPr/>
        <w:t>account</w:t>
      </w:r>
      <w:r>
        <w:rPr>
          <w:spacing w:val="-2"/>
        </w:rPr>
        <w:t> </w:t>
      </w:r>
      <w:r>
        <w:rPr/>
        <w:t>for</w:t>
      </w:r>
      <w:r>
        <w:rPr>
          <w:spacing w:val="-3"/>
        </w:rPr>
        <w:t> </w:t>
      </w:r>
      <w:r>
        <w:rPr/>
        <w:t>the</w:t>
      </w:r>
      <w:r>
        <w:rPr>
          <w:spacing w:val="-3"/>
        </w:rPr>
        <w:t> </w:t>
      </w:r>
      <w:r>
        <w:rPr/>
        <w:t>accumulation</w:t>
      </w:r>
      <w:r>
        <w:rPr>
          <w:spacing w:val="-4"/>
        </w:rPr>
        <w:t> </w:t>
      </w:r>
      <w:r>
        <w:rPr/>
        <w:t>of</w:t>
      </w:r>
      <w:r>
        <w:rPr>
          <w:spacing w:val="-3"/>
        </w:rPr>
        <w:t> </w:t>
      </w:r>
      <w:r>
        <w:rPr/>
        <w:t>resources</w:t>
      </w:r>
      <w:r>
        <w:rPr>
          <w:spacing w:val="-2"/>
        </w:rPr>
        <w:t> </w:t>
      </w:r>
      <w:r>
        <w:rPr/>
        <w:t>for</w:t>
      </w:r>
      <w:r>
        <w:rPr>
          <w:spacing w:val="-3"/>
        </w:rPr>
        <w:t> </w:t>
      </w:r>
      <w:r>
        <w:rPr/>
        <w:t>interest</w:t>
      </w:r>
      <w:r>
        <w:rPr>
          <w:spacing w:val="-2"/>
        </w:rPr>
        <w:t> </w:t>
      </w:r>
      <w:r>
        <w:rPr/>
        <w:t>and principal payments and other debt service charges.</w:t>
      </w:r>
    </w:p>
    <w:p>
      <w:pPr>
        <w:pStyle w:val="Heading2"/>
        <w:tabs>
          <w:tab w:pos="1079" w:val="left" w:leader="none"/>
        </w:tabs>
        <w:spacing w:before="321"/>
        <w:ind w:left="359"/>
        <w:rPr>
          <w:u w:val="none"/>
        </w:rPr>
      </w:pPr>
      <w:r>
        <w:rPr>
          <w:spacing w:val="-5"/>
          <w:u w:val="none"/>
        </w:rPr>
        <w:t>701</w:t>
      </w:r>
      <w:r>
        <w:rPr>
          <w:u w:val="none"/>
        </w:rPr>
        <w:tab/>
      </w:r>
      <w:r>
        <w:rPr>
          <w:u w:val="single"/>
        </w:rPr>
        <w:t>I&amp;S</w:t>
      </w:r>
      <w:r>
        <w:rPr>
          <w:spacing w:val="-3"/>
          <w:u w:val="single"/>
        </w:rPr>
        <w:t> </w:t>
      </w:r>
      <w:r>
        <w:rPr>
          <w:u w:val="single"/>
        </w:rPr>
        <w:t>-</w:t>
      </w:r>
      <w:r>
        <w:rPr>
          <w:spacing w:val="-3"/>
          <w:u w:val="single"/>
        </w:rPr>
        <w:t> </w:t>
      </w:r>
      <w:r>
        <w:rPr>
          <w:u w:val="single"/>
        </w:rPr>
        <w:t>Housing</w:t>
      </w:r>
      <w:r>
        <w:rPr>
          <w:spacing w:val="-3"/>
          <w:u w:val="single"/>
        </w:rPr>
        <w:t> </w:t>
      </w:r>
      <w:r>
        <w:rPr>
          <w:spacing w:val="-4"/>
          <w:u w:val="single"/>
        </w:rPr>
        <w:t>Fund</w:t>
      </w:r>
    </w:p>
    <w:p>
      <w:pPr>
        <w:pStyle w:val="BodyText"/>
        <w:ind w:left="1079" w:right="352"/>
      </w:pPr>
      <w:r>
        <w:rPr/>
        <w:t>This</w:t>
      </w:r>
      <w:r>
        <w:rPr>
          <w:spacing w:val="-3"/>
        </w:rPr>
        <w:t> </w:t>
      </w:r>
      <w:r>
        <w:rPr/>
        <w:t>Fund</w:t>
      </w:r>
      <w:r>
        <w:rPr>
          <w:spacing w:val="-3"/>
        </w:rPr>
        <w:t> </w:t>
      </w:r>
      <w:r>
        <w:rPr/>
        <w:t>represents</w:t>
      </w:r>
      <w:r>
        <w:rPr>
          <w:spacing w:val="-5"/>
        </w:rPr>
        <w:t> </w:t>
      </w:r>
      <w:r>
        <w:rPr/>
        <w:t>Interest</w:t>
      </w:r>
      <w:r>
        <w:rPr>
          <w:spacing w:val="-3"/>
        </w:rPr>
        <w:t> </w:t>
      </w:r>
      <w:r>
        <w:rPr/>
        <w:t>and</w:t>
      </w:r>
      <w:r>
        <w:rPr>
          <w:spacing w:val="-3"/>
        </w:rPr>
        <w:t> </w:t>
      </w:r>
      <w:r>
        <w:rPr/>
        <w:t>Sinking</w:t>
      </w:r>
      <w:r>
        <w:rPr>
          <w:spacing w:val="-3"/>
        </w:rPr>
        <w:t> </w:t>
      </w:r>
      <w:r>
        <w:rPr/>
        <w:t>reserves</w:t>
      </w:r>
      <w:r>
        <w:rPr>
          <w:spacing w:val="-2"/>
        </w:rPr>
        <w:t> </w:t>
      </w:r>
      <w:r>
        <w:rPr/>
        <w:t>for</w:t>
      </w:r>
      <w:r>
        <w:rPr>
          <w:spacing w:val="-6"/>
        </w:rPr>
        <w:t> </w:t>
      </w:r>
      <w:r>
        <w:rPr/>
        <w:t>the</w:t>
      </w:r>
      <w:r>
        <w:rPr>
          <w:spacing w:val="-4"/>
        </w:rPr>
        <w:t> </w:t>
      </w:r>
      <w:r>
        <w:rPr/>
        <w:t>repayment</w:t>
      </w:r>
      <w:r>
        <w:rPr>
          <w:spacing w:val="-3"/>
        </w:rPr>
        <w:t> </w:t>
      </w:r>
      <w:r>
        <w:rPr/>
        <w:t>of</w:t>
      </w:r>
      <w:r>
        <w:rPr>
          <w:spacing w:val="-6"/>
        </w:rPr>
        <w:t> </w:t>
      </w:r>
      <w:r>
        <w:rPr/>
        <w:t>Housing</w:t>
      </w:r>
      <w:r>
        <w:rPr>
          <w:spacing w:val="-3"/>
        </w:rPr>
        <w:t> </w:t>
      </w:r>
      <w:r>
        <w:rPr/>
        <w:t>System bond debts. Principal and interest payments are made from this fund.</w:t>
      </w:r>
    </w:p>
    <w:p>
      <w:pPr>
        <w:pStyle w:val="BodyText"/>
        <w:spacing w:before="1"/>
        <w:ind w:left="0"/>
      </w:pPr>
    </w:p>
    <w:p>
      <w:pPr>
        <w:pStyle w:val="Heading2"/>
        <w:tabs>
          <w:tab w:pos="1079" w:val="left" w:leader="none"/>
        </w:tabs>
        <w:spacing w:line="322" w:lineRule="exact"/>
        <w:ind w:left="359"/>
        <w:rPr>
          <w:u w:val="none"/>
        </w:rPr>
      </w:pPr>
      <w:r>
        <w:rPr>
          <w:spacing w:val="-5"/>
          <w:u w:val="none"/>
        </w:rPr>
        <w:t>711</w:t>
      </w:r>
      <w:r>
        <w:rPr>
          <w:u w:val="none"/>
        </w:rPr>
        <w:tab/>
      </w:r>
      <w:r>
        <w:rPr>
          <w:u w:val="single"/>
        </w:rPr>
        <w:t>I&amp;S</w:t>
      </w:r>
      <w:r>
        <w:rPr>
          <w:spacing w:val="-2"/>
          <w:u w:val="single"/>
        </w:rPr>
        <w:t> </w:t>
      </w:r>
      <w:r>
        <w:rPr>
          <w:u w:val="single"/>
        </w:rPr>
        <w:t>-</w:t>
      </w:r>
      <w:r>
        <w:rPr>
          <w:spacing w:val="-2"/>
          <w:u w:val="single"/>
        </w:rPr>
        <w:t> </w:t>
      </w:r>
      <w:r>
        <w:rPr>
          <w:u w:val="single"/>
        </w:rPr>
        <w:t>Traffic</w:t>
      </w:r>
      <w:r>
        <w:rPr>
          <w:spacing w:val="-3"/>
          <w:u w:val="single"/>
        </w:rPr>
        <w:t> </w:t>
      </w:r>
      <w:r>
        <w:rPr>
          <w:u w:val="single"/>
        </w:rPr>
        <w:t>&amp;</w:t>
      </w:r>
      <w:r>
        <w:rPr>
          <w:spacing w:val="-2"/>
          <w:u w:val="single"/>
        </w:rPr>
        <w:t> Parking</w:t>
      </w:r>
    </w:p>
    <w:p>
      <w:pPr>
        <w:pStyle w:val="BodyText"/>
        <w:ind w:left="1079" w:right="352"/>
      </w:pPr>
      <w:r>
        <w:rPr/>
        <w:t>This</w:t>
      </w:r>
      <w:r>
        <w:rPr>
          <w:spacing w:val="-3"/>
        </w:rPr>
        <w:t> </w:t>
      </w:r>
      <w:r>
        <w:rPr/>
        <w:t>fund</w:t>
      </w:r>
      <w:r>
        <w:rPr>
          <w:spacing w:val="-3"/>
        </w:rPr>
        <w:t> </w:t>
      </w:r>
      <w:r>
        <w:rPr/>
        <w:t>represents</w:t>
      </w:r>
      <w:r>
        <w:rPr>
          <w:spacing w:val="-3"/>
        </w:rPr>
        <w:t> </w:t>
      </w:r>
      <w:r>
        <w:rPr/>
        <w:t>Interest</w:t>
      </w:r>
      <w:r>
        <w:rPr>
          <w:spacing w:val="-3"/>
        </w:rPr>
        <w:t> </w:t>
      </w:r>
      <w:r>
        <w:rPr/>
        <w:t>&amp;</w:t>
      </w:r>
      <w:r>
        <w:rPr>
          <w:spacing w:val="-4"/>
        </w:rPr>
        <w:t> </w:t>
      </w:r>
      <w:r>
        <w:rPr/>
        <w:t>Sinking</w:t>
      </w:r>
      <w:r>
        <w:rPr>
          <w:spacing w:val="-3"/>
        </w:rPr>
        <w:t> </w:t>
      </w:r>
      <w:r>
        <w:rPr/>
        <w:t>reserves</w:t>
      </w:r>
      <w:r>
        <w:rPr>
          <w:spacing w:val="-4"/>
        </w:rPr>
        <w:t> </w:t>
      </w:r>
      <w:r>
        <w:rPr/>
        <w:t>for</w:t>
      </w:r>
      <w:r>
        <w:rPr>
          <w:spacing w:val="-4"/>
        </w:rPr>
        <w:t> </w:t>
      </w:r>
      <w:r>
        <w:rPr/>
        <w:t>the</w:t>
      </w:r>
      <w:r>
        <w:rPr>
          <w:spacing w:val="-4"/>
        </w:rPr>
        <w:t> </w:t>
      </w:r>
      <w:r>
        <w:rPr/>
        <w:t>repayment</w:t>
      </w:r>
      <w:r>
        <w:rPr>
          <w:spacing w:val="-4"/>
        </w:rPr>
        <w:t> </w:t>
      </w:r>
      <w:r>
        <w:rPr/>
        <w:t>of</w:t>
      </w:r>
      <w:r>
        <w:rPr>
          <w:spacing w:val="-3"/>
        </w:rPr>
        <w:t> </w:t>
      </w:r>
      <w:r>
        <w:rPr/>
        <w:t>Traffic</w:t>
      </w:r>
      <w:r>
        <w:rPr>
          <w:spacing w:val="-4"/>
        </w:rPr>
        <w:t> </w:t>
      </w:r>
      <w:r>
        <w:rPr/>
        <w:t>&amp;</w:t>
      </w:r>
      <w:r>
        <w:rPr>
          <w:spacing w:val="-4"/>
        </w:rPr>
        <w:t> </w:t>
      </w:r>
      <w:r>
        <w:rPr/>
        <w:t>Parking bond debts. Principal and interest payments are paid from this Fund.</w:t>
      </w:r>
    </w:p>
    <w:p>
      <w:pPr>
        <w:pStyle w:val="BodyText"/>
        <w:spacing w:before="1"/>
        <w:ind w:left="0"/>
      </w:pPr>
    </w:p>
    <w:p>
      <w:pPr>
        <w:pStyle w:val="Heading2"/>
        <w:tabs>
          <w:tab w:pos="1079" w:val="left" w:leader="none"/>
        </w:tabs>
        <w:rPr>
          <w:u w:val="none"/>
        </w:rPr>
      </w:pPr>
      <w:r>
        <w:rPr>
          <w:spacing w:val="-5"/>
          <w:u w:val="none"/>
        </w:rPr>
        <w:t>721</w:t>
      </w:r>
      <w:r>
        <w:rPr>
          <w:u w:val="none"/>
        </w:rPr>
        <w:tab/>
      </w:r>
      <w:r>
        <w:rPr>
          <w:u w:val="single"/>
        </w:rPr>
        <w:t>I&amp;S</w:t>
      </w:r>
      <w:r>
        <w:rPr>
          <w:spacing w:val="-6"/>
          <w:u w:val="single"/>
        </w:rPr>
        <w:t> </w:t>
      </w:r>
      <w:r>
        <w:rPr>
          <w:u w:val="single"/>
        </w:rPr>
        <w:t>-</w:t>
      </w:r>
      <w:r>
        <w:rPr>
          <w:spacing w:val="-5"/>
          <w:u w:val="single"/>
        </w:rPr>
        <w:t> </w:t>
      </w:r>
      <w:r>
        <w:rPr>
          <w:u w:val="single"/>
        </w:rPr>
        <w:t>Clinical</w:t>
      </w:r>
      <w:r>
        <w:rPr>
          <w:spacing w:val="-4"/>
          <w:u w:val="single"/>
        </w:rPr>
        <w:t> </w:t>
      </w:r>
      <w:r>
        <w:rPr>
          <w:u w:val="single"/>
        </w:rPr>
        <w:t>Translational</w:t>
      </w:r>
      <w:r>
        <w:rPr>
          <w:spacing w:val="-7"/>
          <w:u w:val="single"/>
        </w:rPr>
        <w:t> </w:t>
      </w:r>
      <w:r>
        <w:rPr>
          <w:u w:val="single"/>
        </w:rPr>
        <w:t>Research</w:t>
      </w:r>
      <w:r>
        <w:rPr>
          <w:spacing w:val="-5"/>
          <w:u w:val="single"/>
        </w:rPr>
        <w:t> </w:t>
      </w:r>
      <w:r>
        <w:rPr>
          <w:u w:val="single"/>
        </w:rPr>
        <w:t>Building</w:t>
      </w:r>
      <w:r>
        <w:rPr>
          <w:spacing w:val="-3"/>
          <w:u w:val="single"/>
        </w:rPr>
        <w:t> </w:t>
      </w:r>
      <w:r>
        <w:rPr>
          <w:spacing w:val="-4"/>
          <w:u w:val="single"/>
        </w:rPr>
        <w:t>Bond</w:t>
      </w:r>
      <w:r>
        <w:rPr>
          <w:spacing w:val="68"/>
          <w:u w:val="single"/>
        </w:rPr>
        <w:t> </w:t>
      </w:r>
    </w:p>
    <w:p>
      <w:pPr>
        <w:pStyle w:val="BodyText"/>
        <w:spacing w:before="247"/>
        <w:ind w:right="352"/>
      </w:pPr>
      <w:r>
        <w:rPr/>
        <w:t>This Fund represents Interest and Sinking reserves for the repayment of the Clinical Translational</w:t>
      </w:r>
      <w:r>
        <w:rPr>
          <w:spacing w:val="-2"/>
        </w:rPr>
        <w:t> </w:t>
      </w:r>
      <w:r>
        <w:rPr/>
        <w:t>Research</w:t>
      </w:r>
      <w:r>
        <w:rPr>
          <w:spacing w:val="-3"/>
        </w:rPr>
        <w:t> </w:t>
      </w:r>
      <w:r>
        <w:rPr/>
        <w:t>Building</w:t>
      </w:r>
      <w:r>
        <w:rPr>
          <w:spacing w:val="-5"/>
        </w:rPr>
        <w:t> </w:t>
      </w:r>
      <w:r>
        <w:rPr/>
        <w:t>bond</w:t>
      </w:r>
      <w:r>
        <w:rPr>
          <w:spacing w:val="-2"/>
        </w:rPr>
        <w:t> </w:t>
      </w:r>
      <w:r>
        <w:rPr/>
        <w:t>debts.</w:t>
      </w:r>
      <w:r>
        <w:rPr>
          <w:spacing w:val="-4"/>
        </w:rPr>
        <w:t> </w:t>
      </w:r>
      <w:r>
        <w:rPr/>
        <w:t>Principal</w:t>
      </w:r>
      <w:r>
        <w:rPr>
          <w:spacing w:val="-3"/>
        </w:rPr>
        <w:t> </w:t>
      </w:r>
      <w:r>
        <w:rPr/>
        <w:t>and</w:t>
      </w:r>
      <w:r>
        <w:rPr>
          <w:spacing w:val="-5"/>
        </w:rPr>
        <w:t> </w:t>
      </w:r>
      <w:r>
        <w:rPr/>
        <w:t>interest</w:t>
      </w:r>
      <w:r>
        <w:rPr>
          <w:spacing w:val="-5"/>
        </w:rPr>
        <w:t> </w:t>
      </w:r>
      <w:r>
        <w:rPr/>
        <w:t>payments</w:t>
      </w:r>
      <w:r>
        <w:rPr>
          <w:spacing w:val="-3"/>
        </w:rPr>
        <w:t> </w:t>
      </w:r>
      <w:r>
        <w:rPr/>
        <w:t>are</w:t>
      </w:r>
      <w:r>
        <w:rPr>
          <w:spacing w:val="-4"/>
        </w:rPr>
        <w:t> </w:t>
      </w:r>
      <w:r>
        <w:rPr/>
        <w:t>made from this fund.</w:t>
      </w:r>
    </w:p>
    <w:p>
      <w:pPr>
        <w:pStyle w:val="BodyText"/>
        <w:spacing w:after="0"/>
        <w:sectPr>
          <w:pgSz w:w="12240" w:h="15840"/>
          <w:pgMar w:header="0" w:footer="672" w:top="660" w:bottom="940" w:left="360" w:right="360"/>
        </w:sectPr>
      </w:pPr>
    </w:p>
    <w:p>
      <w:pPr>
        <w:pStyle w:val="Heading2"/>
        <w:tabs>
          <w:tab w:pos="1079" w:val="left" w:leader="none"/>
        </w:tabs>
        <w:spacing w:line="322" w:lineRule="exact" w:before="60"/>
        <w:rPr>
          <w:u w:val="none"/>
        </w:rPr>
      </w:pPr>
      <w:r>
        <w:rPr>
          <w:spacing w:val="-5"/>
          <w:u w:val="none"/>
        </w:rPr>
        <w:t>731</w:t>
      </w:r>
      <w:r>
        <w:rPr>
          <w:u w:val="none"/>
        </w:rPr>
        <w:tab/>
      </w:r>
      <w:r>
        <w:rPr>
          <w:u w:val="single"/>
        </w:rPr>
        <w:t>I&amp;S</w:t>
      </w:r>
      <w:r>
        <w:rPr>
          <w:spacing w:val="-2"/>
          <w:u w:val="single"/>
        </w:rPr>
        <w:t> </w:t>
      </w:r>
      <w:r>
        <w:rPr>
          <w:u w:val="single"/>
        </w:rPr>
        <w:t>-</w:t>
      </w:r>
      <w:r>
        <w:rPr>
          <w:spacing w:val="-2"/>
          <w:u w:val="single"/>
        </w:rPr>
        <w:t> </w:t>
      </w:r>
      <w:r>
        <w:rPr>
          <w:u w:val="single"/>
        </w:rPr>
        <w:t>Reitz</w:t>
      </w:r>
      <w:r>
        <w:rPr>
          <w:spacing w:val="-4"/>
          <w:u w:val="single"/>
        </w:rPr>
        <w:t> </w:t>
      </w:r>
      <w:r>
        <w:rPr>
          <w:u w:val="single"/>
        </w:rPr>
        <w:t>Union</w:t>
      </w:r>
      <w:r>
        <w:rPr>
          <w:spacing w:val="-1"/>
          <w:u w:val="single"/>
        </w:rPr>
        <w:t> </w:t>
      </w:r>
      <w:r>
        <w:rPr>
          <w:spacing w:val="-4"/>
          <w:u w:val="single"/>
        </w:rPr>
        <w:t>Bond</w:t>
      </w:r>
    </w:p>
    <w:p>
      <w:pPr>
        <w:pStyle w:val="BodyText"/>
        <w:ind w:right="352"/>
      </w:pPr>
      <w:r>
        <w:rPr/>
        <w:t>This</w:t>
      </w:r>
      <w:r>
        <w:rPr>
          <w:spacing w:val="-2"/>
        </w:rPr>
        <w:t> </w:t>
      </w:r>
      <w:r>
        <w:rPr/>
        <w:t>Fund</w:t>
      </w:r>
      <w:r>
        <w:rPr>
          <w:spacing w:val="-2"/>
        </w:rPr>
        <w:t> </w:t>
      </w:r>
      <w:r>
        <w:rPr/>
        <w:t>represents</w:t>
      </w:r>
      <w:r>
        <w:rPr>
          <w:spacing w:val="-4"/>
        </w:rPr>
        <w:t> </w:t>
      </w:r>
      <w:r>
        <w:rPr/>
        <w:t>Interest</w:t>
      </w:r>
      <w:r>
        <w:rPr>
          <w:spacing w:val="-2"/>
        </w:rPr>
        <w:t> </w:t>
      </w:r>
      <w:r>
        <w:rPr/>
        <w:t>and</w:t>
      </w:r>
      <w:r>
        <w:rPr>
          <w:spacing w:val="-2"/>
        </w:rPr>
        <w:t> </w:t>
      </w:r>
      <w:r>
        <w:rPr/>
        <w:t>Sinking</w:t>
      </w:r>
      <w:r>
        <w:rPr>
          <w:spacing w:val="-2"/>
        </w:rPr>
        <w:t> </w:t>
      </w:r>
      <w:r>
        <w:rPr/>
        <w:t>reserves</w:t>
      </w:r>
      <w:r>
        <w:rPr>
          <w:spacing w:val="-2"/>
        </w:rPr>
        <w:t> </w:t>
      </w:r>
      <w:r>
        <w:rPr/>
        <w:t>for</w:t>
      </w:r>
      <w:r>
        <w:rPr>
          <w:spacing w:val="-5"/>
        </w:rPr>
        <w:t> </w:t>
      </w:r>
      <w:r>
        <w:rPr/>
        <w:t>the</w:t>
      </w:r>
      <w:r>
        <w:rPr>
          <w:spacing w:val="-3"/>
        </w:rPr>
        <w:t> </w:t>
      </w:r>
      <w:r>
        <w:rPr/>
        <w:t>repayment</w:t>
      </w:r>
      <w:r>
        <w:rPr>
          <w:spacing w:val="-2"/>
        </w:rPr>
        <w:t> </w:t>
      </w:r>
      <w:r>
        <w:rPr/>
        <w:t>of</w:t>
      </w:r>
      <w:r>
        <w:rPr>
          <w:spacing w:val="-5"/>
        </w:rPr>
        <w:t> </w:t>
      </w:r>
      <w:r>
        <w:rPr/>
        <w:t>the</w:t>
      </w:r>
      <w:r>
        <w:rPr>
          <w:spacing w:val="-3"/>
        </w:rPr>
        <w:t> </w:t>
      </w:r>
      <w:r>
        <w:rPr/>
        <w:t>Reitz</w:t>
      </w:r>
      <w:r>
        <w:rPr>
          <w:spacing w:val="-5"/>
        </w:rPr>
        <w:t> </w:t>
      </w:r>
      <w:r>
        <w:rPr/>
        <w:t>Union bond debts. Principal and interest payments are made from this fund.</w:t>
      </w:r>
    </w:p>
    <w:p>
      <w:pPr>
        <w:pStyle w:val="BodyText"/>
        <w:spacing w:before="45"/>
        <w:ind w:left="0"/>
      </w:pPr>
    </w:p>
    <w:p>
      <w:pPr>
        <w:pStyle w:val="Heading1"/>
        <w:ind w:right="446"/>
      </w:pPr>
      <w:r>
        <w:rPr/>
        <w:t>Capital</w:t>
      </w:r>
      <w:r>
        <w:rPr>
          <w:spacing w:val="-5"/>
        </w:rPr>
        <w:t> </w:t>
      </w:r>
      <w:r>
        <w:rPr/>
        <w:t>Assets</w:t>
      </w:r>
      <w:r>
        <w:rPr>
          <w:spacing w:val="-2"/>
        </w:rPr>
        <w:t> </w:t>
      </w:r>
      <w:r>
        <w:rPr/>
        <w:t>Funds</w:t>
      </w:r>
      <w:r>
        <w:rPr>
          <w:spacing w:val="-5"/>
        </w:rPr>
        <w:t> </w:t>
      </w:r>
      <w:r>
        <w:rPr/>
        <w:t>(funds</w:t>
      </w:r>
      <w:r>
        <w:rPr>
          <w:spacing w:val="-5"/>
        </w:rPr>
        <w:t> </w:t>
      </w:r>
      <w:r>
        <w:rPr/>
        <w:t>801–899</w:t>
      </w:r>
      <w:r>
        <w:rPr>
          <w:spacing w:val="-4"/>
        </w:rPr>
        <w:t> </w:t>
      </w:r>
      <w:r>
        <w:rPr/>
        <w:t>are</w:t>
      </w:r>
      <w:r>
        <w:rPr>
          <w:spacing w:val="-5"/>
        </w:rPr>
        <w:t> </w:t>
      </w:r>
      <w:r>
        <w:rPr/>
        <w:t>for</w:t>
      </w:r>
      <w:r>
        <w:rPr>
          <w:spacing w:val="-5"/>
        </w:rPr>
        <w:t> </w:t>
      </w:r>
      <w:r>
        <w:rPr/>
        <w:t>the</w:t>
      </w:r>
      <w:r>
        <w:rPr>
          <w:spacing w:val="-3"/>
        </w:rPr>
        <w:t> </w:t>
      </w:r>
      <w:r>
        <w:rPr/>
        <w:t>use</w:t>
      </w:r>
      <w:r>
        <w:rPr>
          <w:spacing w:val="-3"/>
        </w:rPr>
        <w:t> </w:t>
      </w:r>
      <w:r>
        <w:rPr/>
        <w:t>of</w:t>
      </w:r>
      <w:r>
        <w:rPr>
          <w:spacing w:val="-6"/>
        </w:rPr>
        <w:t> </w:t>
      </w:r>
      <w:r>
        <w:rPr/>
        <w:t>Asset</w:t>
      </w:r>
      <w:r>
        <w:rPr>
          <w:spacing w:val="-6"/>
        </w:rPr>
        <w:t> </w:t>
      </w:r>
      <w:r>
        <w:rPr/>
        <w:t>Management </w:t>
      </w:r>
      <w:r>
        <w:rPr>
          <w:spacing w:val="-2"/>
        </w:rPr>
        <w:t>only)</w:t>
      </w:r>
    </w:p>
    <w:p>
      <w:pPr>
        <w:pStyle w:val="BodyText"/>
        <w:ind w:left="359" w:right="352"/>
      </w:pPr>
      <w:r>
        <w:rPr/>
        <w:t>This</w:t>
      </w:r>
      <w:r>
        <w:rPr>
          <w:spacing w:val="-3"/>
        </w:rPr>
        <w:t> </w:t>
      </w:r>
      <w:r>
        <w:rPr/>
        <w:t>fund</w:t>
      </w:r>
      <w:r>
        <w:rPr>
          <w:spacing w:val="-3"/>
        </w:rPr>
        <w:t> </w:t>
      </w:r>
      <w:r>
        <w:rPr/>
        <w:t>group</w:t>
      </w:r>
      <w:r>
        <w:rPr>
          <w:spacing w:val="-5"/>
        </w:rPr>
        <w:t> </w:t>
      </w:r>
      <w:r>
        <w:rPr/>
        <w:t>includes</w:t>
      </w:r>
      <w:r>
        <w:rPr>
          <w:spacing w:val="-5"/>
        </w:rPr>
        <w:t> </w:t>
      </w:r>
      <w:r>
        <w:rPr/>
        <w:t>all</w:t>
      </w:r>
      <w:r>
        <w:rPr>
          <w:spacing w:val="-3"/>
        </w:rPr>
        <w:t> </w:t>
      </w:r>
      <w:r>
        <w:rPr/>
        <w:t>long-lasting</w:t>
      </w:r>
      <w:r>
        <w:rPr>
          <w:spacing w:val="-3"/>
        </w:rPr>
        <w:t> </w:t>
      </w:r>
      <w:r>
        <w:rPr/>
        <w:t>assets</w:t>
      </w:r>
      <w:r>
        <w:rPr>
          <w:spacing w:val="-3"/>
        </w:rPr>
        <w:t> </w:t>
      </w:r>
      <w:r>
        <w:rPr/>
        <w:t>(tangible</w:t>
      </w:r>
      <w:r>
        <w:rPr>
          <w:spacing w:val="-6"/>
        </w:rPr>
        <w:t> </w:t>
      </w:r>
      <w:r>
        <w:rPr/>
        <w:t>personal</w:t>
      </w:r>
      <w:r>
        <w:rPr>
          <w:spacing w:val="-3"/>
        </w:rPr>
        <w:t> </w:t>
      </w:r>
      <w:r>
        <w:rPr/>
        <w:t>property</w:t>
      </w:r>
      <w:r>
        <w:rPr>
          <w:spacing w:val="-3"/>
        </w:rPr>
        <w:t> </w:t>
      </w:r>
      <w:r>
        <w:rPr/>
        <w:t>and</w:t>
      </w:r>
      <w:r>
        <w:rPr>
          <w:spacing w:val="-3"/>
        </w:rPr>
        <w:t> </w:t>
      </w:r>
      <w:r>
        <w:rPr/>
        <w:t>real</w:t>
      </w:r>
      <w:r>
        <w:rPr>
          <w:spacing w:val="-3"/>
        </w:rPr>
        <w:t> </w:t>
      </w:r>
      <w:r>
        <w:rPr/>
        <w:t>property)</w:t>
      </w:r>
      <w:r>
        <w:rPr>
          <w:spacing w:val="-4"/>
        </w:rPr>
        <w:t> </w:t>
      </w:r>
      <w:r>
        <w:rPr/>
        <w:t>in the service of the University of Florida, as well as associated liabilities. Tangible personal property consists of equipment, fixtures and other property of a non-consumable nature, the value or cost of which is $5,000 or more, with a normal expected life of one year or more, and Library resources with a value or cost of $250 or more and having a useful life of one year or more.</w:t>
      </w:r>
      <w:r>
        <w:rPr>
          <w:spacing w:val="-1"/>
        </w:rPr>
        <w:t> </w:t>
      </w:r>
      <w:r>
        <w:rPr/>
        <w:t>Real</w:t>
      </w:r>
      <w:r>
        <w:rPr>
          <w:spacing w:val="-2"/>
        </w:rPr>
        <w:t> </w:t>
      </w:r>
      <w:r>
        <w:rPr/>
        <w:t>property includes land and buildings (including appurtenance,</w:t>
      </w:r>
      <w:r>
        <w:rPr>
          <w:spacing w:val="-1"/>
        </w:rPr>
        <w:t> </w:t>
      </w:r>
      <w:r>
        <w:rPr/>
        <w:t>fixtures</w:t>
      </w:r>
      <w:r>
        <w:rPr>
          <w:spacing w:val="-2"/>
        </w:rPr>
        <w:t> </w:t>
      </w:r>
      <w:r>
        <w:rPr/>
        <w:t>or</w:t>
      </w:r>
      <w:r>
        <w:rPr>
          <w:spacing w:val="-1"/>
        </w:rPr>
        <w:t> </w:t>
      </w:r>
      <w:r>
        <w:rPr/>
        <w:t>equipment and structures), additions, replacements, major repairs and renovations to real property which materially extend its</w:t>
      </w:r>
      <w:r>
        <w:rPr>
          <w:spacing w:val="-1"/>
        </w:rPr>
        <w:t> </w:t>
      </w:r>
      <w:r>
        <w:rPr/>
        <w:t>useful life</w:t>
      </w:r>
      <w:r>
        <w:rPr>
          <w:spacing w:val="-2"/>
        </w:rPr>
        <w:t> </w:t>
      </w:r>
      <w:r>
        <w:rPr/>
        <w:t>or materially</w:t>
      </w:r>
      <w:r>
        <w:rPr>
          <w:spacing w:val="-1"/>
        </w:rPr>
        <w:t> </w:t>
      </w:r>
      <w:r>
        <w:rPr/>
        <w:t>improve</w:t>
      </w:r>
      <w:r>
        <w:rPr>
          <w:spacing w:val="-2"/>
        </w:rPr>
        <w:t> </w:t>
      </w:r>
      <w:r>
        <w:rPr/>
        <w:t>or change</w:t>
      </w:r>
      <w:r>
        <w:rPr>
          <w:spacing w:val="-2"/>
        </w:rPr>
        <w:t> </w:t>
      </w:r>
      <w:r>
        <w:rPr/>
        <w:t>its functional</w:t>
      </w:r>
      <w:r>
        <w:rPr>
          <w:spacing w:val="-1"/>
        </w:rPr>
        <w:t> </w:t>
      </w:r>
      <w:r>
        <w:rPr/>
        <w:t>use. Long-lasting assets held as investments in Endowment Funds are excluded from these funds.</w:t>
      </w:r>
    </w:p>
    <w:p>
      <w:pPr>
        <w:pStyle w:val="BodyText"/>
        <w:ind w:left="0"/>
      </w:pPr>
    </w:p>
    <w:p>
      <w:pPr>
        <w:pStyle w:val="Heading2"/>
        <w:tabs>
          <w:tab w:pos="1080" w:val="left" w:leader="none"/>
        </w:tabs>
        <w:spacing w:before="1"/>
        <w:rPr>
          <w:u w:val="none"/>
        </w:rPr>
      </w:pPr>
      <w:r>
        <w:rPr>
          <w:spacing w:val="-5"/>
          <w:u w:val="none"/>
        </w:rPr>
        <w:t>801</w:t>
      </w:r>
      <w:r>
        <w:rPr>
          <w:u w:val="none"/>
        </w:rPr>
        <w:tab/>
      </w:r>
      <w:r>
        <w:rPr>
          <w:u w:val="single"/>
        </w:rPr>
        <w:t>Cap</w:t>
      </w:r>
      <w:r>
        <w:rPr>
          <w:spacing w:val="-4"/>
          <w:u w:val="single"/>
        </w:rPr>
        <w:t> </w:t>
      </w:r>
      <w:r>
        <w:rPr>
          <w:u w:val="single"/>
        </w:rPr>
        <w:t>Assets/UF</w:t>
      </w:r>
      <w:r>
        <w:rPr>
          <w:spacing w:val="-5"/>
          <w:u w:val="single"/>
        </w:rPr>
        <w:t> </w:t>
      </w:r>
      <w:r>
        <w:rPr>
          <w:u w:val="single"/>
        </w:rPr>
        <w:t>Plant</w:t>
      </w:r>
      <w:r>
        <w:rPr>
          <w:spacing w:val="-4"/>
          <w:u w:val="single"/>
        </w:rPr>
        <w:t> </w:t>
      </w:r>
      <w:r>
        <w:rPr>
          <w:u w:val="single"/>
        </w:rPr>
        <w:t>Fund</w:t>
      </w:r>
      <w:r>
        <w:rPr>
          <w:spacing w:val="-6"/>
          <w:u w:val="single"/>
        </w:rPr>
        <w:t> </w:t>
      </w:r>
      <w:r>
        <w:rPr>
          <w:u w:val="single"/>
        </w:rPr>
        <w:t>Non-</w:t>
      </w:r>
      <w:r>
        <w:rPr>
          <w:spacing w:val="-2"/>
          <w:u w:val="single"/>
        </w:rPr>
        <w:t>Grant</w:t>
      </w:r>
    </w:p>
    <w:p>
      <w:pPr>
        <w:pStyle w:val="BodyText"/>
        <w:ind w:right="352"/>
      </w:pPr>
      <w:r>
        <w:rPr/>
        <w:t>This Fund includes all tangible personal property and real property assets that are owned or</w:t>
      </w:r>
      <w:r>
        <w:rPr>
          <w:spacing w:val="-3"/>
        </w:rPr>
        <w:t> </w:t>
      </w:r>
      <w:r>
        <w:rPr/>
        <w:t>titled</w:t>
      </w:r>
      <w:r>
        <w:rPr>
          <w:spacing w:val="-2"/>
        </w:rPr>
        <w:t> </w:t>
      </w:r>
      <w:r>
        <w:rPr/>
        <w:t>to</w:t>
      </w:r>
      <w:r>
        <w:rPr>
          <w:spacing w:val="-2"/>
        </w:rPr>
        <w:t> </w:t>
      </w:r>
      <w:r>
        <w:rPr/>
        <w:t>the</w:t>
      </w:r>
      <w:r>
        <w:rPr>
          <w:spacing w:val="-5"/>
        </w:rPr>
        <w:t> </w:t>
      </w:r>
      <w:r>
        <w:rPr/>
        <w:t>University</w:t>
      </w:r>
      <w:r>
        <w:rPr>
          <w:spacing w:val="-4"/>
        </w:rPr>
        <w:t> </w:t>
      </w:r>
      <w:r>
        <w:rPr/>
        <w:t>of</w:t>
      </w:r>
      <w:r>
        <w:rPr>
          <w:spacing w:val="-3"/>
        </w:rPr>
        <w:t> </w:t>
      </w:r>
      <w:r>
        <w:rPr/>
        <w:t>Florida</w:t>
      </w:r>
      <w:r>
        <w:rPr>
          <w:spacing w:val="-3"/>
        </w:rPr>
        <w:t> </w:t>
      </w:r>
      <w:r>
        <w:rPr/>
        <w:t>and</w:t>
      </w:r>
      <w:r>
        <w:rPr>
          <w:spacing w:val="-4"/>
        </w:rPr>
        <w:t> </w:t>
      </w:r>
      <w:r>
        <w:rPr/>
        <w:t>not</w:t>
      </w:r>
      <w:r>
        <w:rPr>
          <w:spacing w:val="-2"/>
        </w:rPr>
        <w:t> </w:t>
      </w:r>
      <w:r>
        <w:rPr/>
        <w:t>associated</w:t>
      </w:r>
      <w:r>
        <w:rPr>
          <w:spacing w:val="-4"/>
        </w:rPr>
        <w:t> </w:t>
      </w:r>
      <w:r>
        <w:rPr/>
        <w:t>with</w:t>
      </w:r>
      <w:r>
        <w:rPr>
          <w:spacing w:val="-2"/>
        </w:rPr>
        <w:t> </w:t>
      </w:r>
      <w:r>
        <w:rPr/>
        <w:t>any</w:t>
      </w:r>
      <w:r>
        <w:rPr>
          <w:spacing w:val="-4"/>
        </w:rPr>
        <w:t> </w:t>
      </w:r>
      <w:r>
        <w:rPr/>
        <w:t>specific</w:t>
      </w:r>
      <w:r>
        <w:rPr>
          <w:spacing w:val="-3"/>
        </w:rPr>
        <w:t> </w:t>
      </w:r>
      <w:r>
        <w:rPr/>
        <w:t>research</w:t>
      </w:r>
      <w:r>
        <w:rPr>
          <w:spacing w:val="-4"/>
        </w:rPr>
        <w:t> </w:t>
      </w:r>
      <w:r>
        <w:rPr/>
        <w:t>project.</w:t>
      </w:r>
    </w:p>
    <w:p>
      <w:pPr>
        <w:pStyle w:val="BodyText"/>
        <w:spacing w:before="1"/>
        <w:ind w:left="0"/>
      </w:pPr>
    </w:p>
    <w:p>
      <w:pPr>
        <w:pStyle w:val="Heading2"/>
        <w:tabs>
          <w:tab w:pos="1079" w:val="left" w:leader="none"/>
        </w:tabs>
        <w:spacing w:line="322" w:lineRule="exact"/>
        <w:rPr>
          <w:u w:val="none"/>
        </w:rPr>
      </w:pPr>
      <w:r>
        <w:rPr>
          <w:spacing w:val="-5"/>
          <w:u w:val="none"/>
        </w:rPr>
        <w:t>802</w:t>
      </w:r>
      <w:r>
        <w:rPr>
          <w:u w:val="none"/>
        </w:rPr>
        <w:tab/>
      </w:r>
      <w:r>
        <w:rPr>
          <w:u w:val="single"/>
        </w:rPr>
        <w:t>Cap</w:t>
      </w:r>
      <w:r>
        <w:rPr>
          <w:spacing w:val="-4"/>
          <w:u w:val="single"/>
        </w:rPr>
        <w:t> </w:t>
      </w:r>
      <w:r>
        <w:rPr>
          <w:u w:val="single"/>
        </w:rPr>
        <w:t>Assets/UF</w:t>
      </w:r>
      <w:r>
        <w:rPr>
          <w:spacing w:val="-5"/>
          <w:u w:val="single"/>
        </w:rPr>
        <w:t> </w:t>
      </w:r>
      <w:r>
        <w:rPr>
          <w:u w:val="single"/>
        </w:rPr>
        <w:t>Plant</w:t>
      </w:r>
      <w:r>
        <w:rPr>
          <w:spacing w:val="-4"/>
          <w:u w:val="single"/>
        </w:rPr>
        <w:t> </w:t>
      </w:r>
      <w:r>
        <w:rPr>
          <w:u w:val="single"/>
        </w:rPr>
        <w:t>Fund</w:t>
      </w:r>
      <w:r>
        <w:rPr>
          <w:spacing w:val="-3"/>
          <w:u w:val="single"/>
        </w:rPr>
        <w:t> </w:t>
      </w:r>
      <w:r>
        <w:rPr>
          <w:spacing w:val="-2"/>
          <w:u w:val="single"/>
        </w:rPr>
        <w:t>Grants</w:t>
      </w:r>
    </w:p>
    <w:p>
      <w:pPr>
        <w:pStyle w:val="BodyText"/>
        <w:tabs>
          <w:tab w:pos="6841" w:val="left" w:leader="none"/>
        </w:tabs>
        <w:ind w:right="499"/>
      </w:pPr>
      <w:r>
        <w:rPr/>
        <w:t>This</w:t>
      </w:r>
      <w:r>
        <w:rPr>
          <w:spacing w:val="-2"/>
        </w:rPr>
        <w:t> </w:t>
      </w:r>
      <w:r>
        <w:rPr/>
        <w:t>Fund</w:t>
      </w:r>
      <w:r>
        <w:rPr>
          <w:spacing w:val="-4"/>
        </w:rPr>
        <w:t> </w:t>
      </w:r>
      <w:r>
        <w:rPr/>
        <w:t>includes</w:t>
      </w:r>
      <w:r>
        <w:rPr>
          <w:spacing w:val="-2"/>
        </w:rPr>
        <w:t> </w:t>
      </w:r>
      <w:r>
        <w:rPr/>
        <w:t>all</w:t>
      </w:r>
      <w:r>
        <w:rPr>
          <w:spacing w:val="-2"/>
        </w:rPr>
        <w:t> </w:t>
      </w:r>
      <w:r>
        <w:rPr/>
        <w:t>tangible</w:t>
      </w:r>
      <w:r>
        <w:rPr>
          <w:spacing w:val="-3"/>
        </w:rPr>
        <w:t> </w:t>
      </w:r>
      <w:r>
        <w:rPr/>
        <w:t>personal</w:t>
      </w:r>
      <w:r>
        <w:rPr>
          <w:spacing w:val="-4"/>
        </w:rPr>
        <w:t> </w:t>
      </w:r>
      <w:r>
        <w:rPr/>
        <w:t>property</w:t>
      </w:r>
      <w:r>
        <w:rPr>
          <w:spacing w:val="-2"/>
        </w:rPr>
        <w:t> </w:t>
      </w:r>
      <w:r>
        <w:rPr/>
        <w:t>and</w:t>
      </w:r>
      <w:r>
        <w:rPr>
          <w:spacing w:val="-2"/>
        </w:rPr>
        <w:t> </w:t>
      </w:r>
      <w:r>
        <w:rPr/>
        <w:t>real</w:t>
      </w:r>
      <w:r>
        <w:rPr>
          <w:spacing w:val="-4"/>
        </w:rPr>
        <w:t> </w:t>
      </w:r>
      <w:r>
        <w:rPr/>
        <w:t>property</w:t>
      </w:r>
      <w:r>
        <w:rPr>
          <w:spacing w:val="-2"/>
        </w:rPr>
        <w:t> </w:t>
      </w:r>
      <w:r>
        <w:rPr/>
        <w:t>assets</w:t>
      </w:r>
      <w:r>
        <w:rPr>
          <w:spacing w:val="-2"/>
        </w:rPr>
        <w:t> </w:t>
      </w:r>
      <w:r>
        <w:rPr/>
        <w:t>that</w:t>
      </w:r>
      <w:r>
        <w:rPr>
          <w:spacing w:val="-2"/>
        </w:rPr>
        <w:t> </w:t>
      </w:r>
      <w:r>
        <w:rPr/>
        <w:t>are</w:t>
      </w:r>
      <w:r>
        <w:rPr>
          <w:spacing w:val="-5"/>
        </w:rPr>
        <w:t> </w:t>
      </w:r>
      <w:r>
        <w:rPr/>
        <w:t>owned or titled to the University of Florida. The assets reported in Fund 802 represent those assets that are used on an active research project.</w:t>
        <w:tab/>
        <w:t>Each</w:t>
      </w:r>
      <w:r>
        <w:rPr>
          <w:spacing w:val="-7"/>
        </w:rPr>
        <w:t> </w:t>
      </w:r>
      <w:r>
        <w:rPr/>
        <w:t>asset</w:t>
      </w:r>
      <w:r>
        <w:rPr>
          <w:spacing w:val="-9"/>
        </w:rPr>
        <w:t> </w:t>
      </w:r>
      <w:r>
        <w:rPr/>
        <w:t>includes</w:t>
      </w:r>
      <w:r>
        <w:rPr>
          <w:spacing w:val="-7"/>
        </w:rPr>
        <w:t> </w:t>
      </w:r>
      <w:r>
        <w:rPr/>
        <w:t>the</w:t>
      </w:r>
      <w:r>
        <w:rPr>
          <w:spacing w:val="-8"/>
        </w:rPr>
        <w:t> </w:t>
      </w:r>
      <w:r>
        <w:rPr/>
        <w:t>active</w:t>
      </w:r>
      <w:r>
        <w:rPr>
          <w:spacing w:val="-8"/>
        </w:rPr>
        <w:t> </w:t>
      </w:r>
      <w:r>
        <w:rPr/>
        <w:t>project number in the asset ChartFields.</w:t>
      </w:r>
    </w:p>
    <w:p>
      <w:pPr>
        <w:pStyle w:val="BodyText"/>
        <w:ind w:left="0"/>
      </w:pPr>
    </w:p>
    <w:p>
      <w:pPr>
        <w:pStyle w:val="Heading2"/>
        <w:tabs>
          <w:tab w:pos="1079" w:val="left" w:leader="none"/>
        </w:tabs>
        <w:rPr>
          <w:u w:val="none"/>
        </w:rPr>
      </w:pPr>
      <w:r>
        <w:rPr>
          <w:spacing w:val="-5"/>
          <w:u w:val="none"/>
        </w:rPr>
        <w:t>891</w:t>
      </w:r>
      <w:r>
        <w:rPr>
          <w:u w:val="none"/>
        </w:rPr>
        <w:tab/>
      </w:r>
      <w:r>
        <w:rPr>
          <w:u w:val="single"/>
        </w:rPr>
        <w:t>Cap</w:t>
      </w:r>
      <w:r>
        <w:rPr>
          <w:spacing w:val="-4"/>
          <w:u w:val="single"/>
        </w:rPr>
        <w:t> </w:t>
      </w:r>
      <w:r>
        <w:rPr>
          <w:u w:val="single"/>
        </w:rPr>
        <w:t>Assets/Non</w:t>
      </w:r>
      <w:r>
        <w:rPr>
          <w:spacing w:val="-5"/>
          <w:u w:val="single"/>
        </w:rPr>
        <w:t> </w:t>
      </w:r>
      <w:r>
        <w:rPr>
          <w:u w:val="single"/>
        </w:rPr>
        <w:t>UF</w:t>
      </w:r>
      <w:r>
        <w:rPr>
          <w:spacing w:val="-3"/>
          <w:u w:val="single"/>
        </w:rPr>
        <w:t> </w:t>
      </w:r>
      <w:r>
        <w:rPr>
          <w:u w:val="single"/>
        </w:rPr>
        <w:t>Plant</w:t>
      </w:r>
      <w:r>
        <w:rPr>
          <w:spacing w:val="-5"/>
          <w:u w:val="single"/>
        </w:rPr>
        <w:t> </w:t>
      </w:r>
      <w:r>
        <w:rPr>
          <w:u w:val="single"/>
        </w:rPr>
        <w:t>Fund</w:t>
      </w:r>
      <w:r>
        <w:rPr>
          <w:spacing w:val="-5"/>
          <w:u w:val="single"/>
        </w:rPr>
        <w:t> </w:t>
      </w:r>
      <w:r>
        <w:rPr>
          <w:spacing w:val="-2"/>
          <w:u w:val="single"/>
        </w:rPr>
        <w:t>Donated</w:t>
      </w:r>
    </w:p>
    <w:p>
      <w:pPr>
        <w:pStyle w:val="BodyText"/>
        <w:ind w:right="352"/>
      </w:pPr>
      <w:r>
        <w:rPr/>
        <w:t>This</w:t>
      </w:r>
      <w:r>
        <w:rPr>
          <w:spacing w:val="-2"/>
        </w:rPr>
        <w:t> </w:t>
      </w:r>
      <w:r>
        <w:rPr/>
        <w:t>Fund</w:t>
      </w:r>
      <w:r>
        <w:rPr>
          <w:spacing w:val="-4"/>
        </w:rPr>
        <w:t> </w:t>
      </w:r>
      <w:r>
        <w:rPr/>
        <w:t>includes</w:t>
      </w:r>
      <w:r>
        <w:rPr>
          <w:spacing w:val="-2"/>
        </w:rPr>
        <w:t> </w:t>
      </w:r>
      <w:r>
        <w:rPr/>
        <w:t>all</w:t>
      </w:r>
      <w:r>
        <w:rPr>
          <w:spacing w:val="-2"/>
        </w:rPr>
        <w:t> </w:t>
      </w:r>
      <w:r>
        <w:rPr/>
        <w:t>tangible</w:t>
      </w:r>
      <w:r>
        <w:rPr>
          <w:spacing w:val="-3"/>
        </w:rPr>
        <w:t> </w:t>
      </w:r>
      <w:r>
        <w:rPr/>
        <w:t>personal</w:t>
      </w:r>
      <w:r>
        <w:rPr>
          <w:spacing w:val="-4"/>
        </w:rPr>
        <w:t> </w:t>
      </w:r>
      <w:r>
        <w:rPr/>
        <w:t>property</w:t>
      </w:r>
      <w:r>
        <w:rPr>
          <w:spacing w:val="-2"/>
        </w:rPr>
        <w:t> </w:t>
      </w:r>
      <w:r>
        <w:rPr/>
        <w:t>and</w:t>
      </w:r>
      <w:r>
        <w:rPr>
          <w:spacing w:val="-2"/>
        </w:rPr>
        <w:t> </w:t>
      </w:r>
      <w:r>
        <w:rPr/>
        <w:t>real</w:t>
      </w:r>
      <w:r>
        <w:rPr>
          <w:spacing w:val="-4"/>
        </w:rPr>
        <w:t> </w:t>
      </w:r>
      <w:r>
        <w:rPr/>
        <w:t>property</w:t>
      </w:r>
      <w:r>
        <w:rPr>
          <w:spacing w:val="-2"/>
        </w:rPr>
        <w:t> </w:t>
      </w:r>
      <w:r>
        <w:rPr/>
        <w:t>assets</w:t>
      </w:r>
      <w:r>
        <w:rPr>
          <w:spacing w:val="-2"/>
        </w:rPr>
        <w:t> </w:t>
      </w:r>
      <w:r>
        <w:rPr/>
        <w:t>that</w:t>
      </w:r>
      <w:r>
        <w:rPr>
          <w:spacing w:val="-2"/>
        </w:rPr>
        <w:t> </w:t>
      </w:r>
      <w:r>
        <w:rPr/>
        <w:t>are</w:t>
      </w:r>
      <w:r>
        <w:rPr>
          <w:spacing w:val="-5"/>
        </w:rPr>
        <w:t> </w:t>
      </w:r>
      <w:r>
        <w:rPr/>
        <w:t>titled</w:t>
      </w:r>
      <w:r>
        <w:rPr>
          <w:spacing w:val="-2"/>
        </w:rPr>
        <w:t> </w:t>
      </w:r>
      <w:r>
        <w:rPr/>
        <w:t>to the University of Florida. The capital assets reported in Fund 891 represent those capital assets that were donated to the University of Florida.</w:t>
      </w:r>
    </w:p>
    <w:p>
      <w:pPr>
        <w:pStyle w:val="Heading2"/>
        <w:spacing w:before="320"/>
        <w:jc w:val="both"/>
        <w:rPr>
          <w:u w:val="none"/>
        </w:rPr>
      </w:pPr>
      <w:r>
        <w:rPr>
          <w:u w:val="none"/>
        </w:rPr>
        <w:t>899</w:t>
      </w:r>
      <w:r>
        <w:rPr>
          <w:spacing w:val="76"/>
          <w:u w:val="none"/>
        </w:rPr>
        <w:t>  </w:t>
      </w:r>
      <w:r>
        <w:rPr>
          <w:u w:val="single"/>
        </w:rPr>
        <w:t>Cap</w:t>
      </w:r>
      <w:r>
        <w:rPr>
          <w:spacing w:val="-2"/>
          <w:u w:val="single"/>
        </w:rPr>
        <w:t> </w:t>
      </w:r>
      <w:r>
        <w:rPr>
          <w:u w:val="single"/>
        </w:rPr>
        <w:t>Assets/Non</w:t>
      </w:r>
      <w:r>
        <w:rPr>
          <w:spacing w:val="-4"/>
          <w:u w:val="single"/>
        </w:rPr>
        <w:t> </w:t>
      </w:r>
      <w:r>
        <w:rPr>
          <w:u w:val="single"/>
        </w:rPr>
        <w:t>UF</w:t>
      </w:r>
      <w:r>
        <w:rPr>
          <w:spacing w:val="-1"/>
          <w:u w:val="single"/>
        </w:rPr>
        <w:t> </w:t>
      </w:r>
      <w:r>
        <w:rPr>
          <w:spacing w:val="-2"/>
          <w:u w:val="single"/>
        </w:rPr>
        <w:t>Property</w:t>
      </w:r>
    </w:p>
    <w:p>
      <w:pPr>
        <w:pStyle w:val="BodyText"/>
        <w:ind w:right="607"/>
        <w:jc w:val="both"/>
      </w:pPr>
      <w:r>
        <w:rPr/>
        <w:t>This</w:t>
      </w:r>
      <w:r>
        <w:rPr>
          <w:spacing w:val="-2"/>
        </w:rPr>
        <w:t> </w:t>
      </w:r>
      <w:r>
        <w:rPr/>
        <w:t>fund</w:t>
      </w:r>
      <w:r>
        <w:rPr>
          <w:spacing w:val="-2"/>
        </w:rPr>
        <w:t> </w:t>
      </w:r>
      <w:r>
        <w:rPr/>
        <w:t>is</w:t>
      </w:r>
      <w:r>
        <w:rPr>
          <w:spacing w:val="-2"/>
        </w:rPr>
        <w:t> </w:t>
      </w:r>
      <w:r>
        <w:rPr/>
        <w:t>used</w:t>
      </w:r>
      <w:r>
        <w:rPr>
          <w:spacing w:val="-2"/>
        </w:rPr>
        <w:t> </w:t>
      </w:r>
      <w:r>
        <w:rPr/>
        <w:t>to</w:t>
      </w:r>
      <w:r>
        <w:rPr>
          <w:spacing w:val="-2"/>
        </w:rPr>
        <w:t> </w:t>
      </w:r>
      <w:r>
        <w:rPr/>
        <w:t>record</w:t>
      </w:r>
      <w:r>
        <w:rPr>
          <w:spacing w:val="-2"/>
        </w:rPr>
        <w:t> </w:t>
      </w:r>
      <w:r>
        <w:rPr/>
        <w:t>non-UF</w:t>
      </w:r>
      <w:r>
        <w:rPr>
          <w:spacing w:val="-3"/>
        </w:rPr>
        <w:t> </w:t>
      </w:r>
      <w:r>
        <w:rPr/>
        <w:t>owned</w:t>
      </w:r>
      <w:r>
        <w:rPr>
          <w:spacing w:val="-4"/>
        </w:rPr>
        <w:t> </w:t>
      </w:r>
      <w:r>
        <w:rPr/>
        <w:t>capital</w:t>
      </w:r>
      <w:r>
        <w:rPr>
          <w:spacing w:val="-2"/>
        </w:rPr>
        <w:t> </w:t>
      </w:r>
      <w:r>
        <w:rPr/>
        <w:t>assets</w:t>
      </w:r>
      <w:r>
        <w:rPr>
          <w:spacing w:val="-2"/>
        </w:rPr>
        <w:t> </w:t>
      </w:r>
      <w:r>
        <w:rPr/>
        <w:t>in</w:t>
      </w:r>
      <w:r>
        <w:rPr>
          <w:spacing w:val="-2"/>
        </w:rPr>
        <w:t> </w:t>
      </w:r>
      <w:r>
        <w:rPr/>
        <w:t>the</w:t>
      </w:r>
      <w:r>
        <w:rPr>
          <w:spacing w:val="-3"/>
        </w:rPr>
        <w:t> </w:t>
      </w:r>
      <w:r>
        <w:rPr/>
        <w:t>service</w:t>
      </w:r>
      <w:r>
        <w:rPr>
          <w:spacing w:val="-5"/>
        </w:rPr>
        <w:t> </w:t>
      </w:r>
      <w:r>
        <w:rPr/>
        <w:t>of</w:t>
      </w:r>
      <w:r>
        <w:rPr>
          <w:spacing w:val="-3"/>
        </w:rPr>
        <w:t> </w:t>
      </w:r>
      <w:r>
        <w:rPr/>
        <w:t>the</w:t>
      </w:r>
      <w:r>
        <w:rPr>
          <w:spacing w:val="-5"/>
        </w:rPr>
        <w:t> </w:t>
      </w:r>
      <w:r>
        <w:rPr/>
        <w:t>University of</w:t>
      </w:r>
      <w:r>
        <w:rPr>
          <w:spacing w:val="-3"/>
        </w:rPr>
        <w:t> </w:t>
      </w:r>
      <w:r>
        <w:rPr/>
        <w:t>Florida.</w:t>
      </w:r>
      <w:r>
        <w:rPr>
          <w:spacing w:val="-3"/>
        </w:rPr>
        <w:t> </w:t>
      </w:r>
      <w:r>
        <w:rPr/>
        <w:t>This</w:t>
      </w:r>
      <w:r>
        <w:rPr>
          <w:spacing w:val="-2"/>
        </w:rPr>
        <w:t> </w:t>
      </w:r>
      <w:r>
        <w:rPr/>
        <w:t>includes</w:t>
      </w:r>
      <w:r>
        <w:rPr>
          <w:spacing w:val="-4"/>
        </w:rPr>
        <w:t> </w:t>
      </w:r>
      <w:r>
        <w:rPr/>
        <w:t>assets</w:t>
      </w:r>
      <w:r>
        <w:rPr>
          <w:spacing w:val="-4"/>
        </w:rPr>
        <w:t> </w:t>
      </w:r>
      <w:r>
        <w:rPr/>
        <w:t>loaned</w:t>
      </w:r>
      <w:r>
        <w:rPr>
          <w:spacing w:val="-2"/>
        </w:rPr>
        <w:t> </w:t>
      </w:r>
      <w:r>
        <w:rPr/>
        <w:t>to</w:t>
      </w:r>
      <w:r>
        <w:rPr>
          <w:spacing w:val="-2"/>
        </w:rPr>
        <w:t> </w:t>
      </w:r>
      <w:r>
        <w:rPr/>
        <w:t>the</w:t>
      </w:r>
      <w:r>
        <w:rPr>
          <w:spacing w:val="-3"/>
        </w:rPr>
        <w:t> </w:t>
      </w:r>
      <w:r>
        <w:rPr/>
        <w:t>University</w:t>
      </w:r>
      <w:r>
        <w:rPr>
          <w:spacing w:val="-4"/>
        </w:rPr>
        <w:t> </w:t>
      </w:r>
      <w:r>
        <w:rPr/>
        <w:t>of</w:t>
      </w:r>
      <w:r>
        <w:rPr>
          <w:spacing w:val="-3"/>
        </w:rPr>
        <w:t> </w:t>
      </w:r>
      <w:r>
        <w:rPr/>
        <w:t>Florida</w:t>
      </w:r>
      <w:r>
        <w:rPr>
          <w:spacing w:val="-3"/>
        </w:rPr>
        <w:t> </w:t>
      </w:r>
      <w:r>
        <w:rPr/>
        <w:t>and</w:t>
      </w:r>
      <w:r>
        <w:rPr>
          <w:spacing w:val="-2"/>
        </w:rPr>
        <w:t> </w:t>
      </w:r>
      <w:r>
        <w:rPr/>
        <w:t>assets</w:t>
      </w:r>
      <w:r>
        <w:rPr>
          <w:spacing w:val="-2"/>
        </w:rPr>
        <w:t> </w:t>
      </w:r>
      <w:r>
        <w:rPr/>
        <w:t>purchased on a grant or contract when the terms and conditions of the agreement stipulate that the title of the assets will reside with the funding agency.</w:t>
      </w:r>
    </w:p>
    <w:p>
      <w:pPr>
        <w:pStyle w:val="BodyText"/>
        <w:spacing w:after="0"/>
        <w:jc w:val="both"/>
        <w:sectPr>
          <w:pgSz w:w="12240" w:h="15840"/>
          <w:pgMar w:header="0" w:footer="672" w:top="660" w:bottom="940" w:left="360" w:right="360"/>
        </w:sectPr>
      </w:pPr>
    </w:p>
    <w:p>
      <w:pPr>
        <w:pStyle w:val="Heading1"/>
        <w:spacing w:before="59"/>
      </w:pPr>
      <w:r>
        <w:rPr/>
        <w:t>Agency</w:t>
      </w:r>
      <w:r>
        <w:rPr>
          <w:spacing w:val="-10"/>
        </w:rPr>
        <w:t> </w:t>
      </w:r>
      <w:r>
        <w:rPr>
          <w:spacing w:val="-2"/>
        </w:rPr>
        <w:t>Funds</w:t>
      </w:r>
    </w:p>
    <w:p>
      <w:pPr>
        <w:pStyle w:val="BodyText"/>
        <w:ind w:left="359" w:right="446"/>
      </w:pPr>
      <w:r>
        <w:rPr/>
        <w:t>Agency funds consist of funds held by an institution as custodian or fiscal agent for others. Revenues and Expenses in this fund are not reported on the University’s Statement of Revenues,</w:t>
      </w:r>
      <w:r>
        <w:rPr>
          <w:spacing w:val="-6"/>
        </w:rPr>
        <w:t> </w:t>
      </w:r>
      <w:r>
        <w:rPr/>
        <w:t>Expenses,</w:t>
      </w:r>
      <w:r>
        <w:rPr>
          <w:spacing w:val="-6"/>
        </w:rPr>
        <w:t> </w:t>
      </w:r>
      <w:r>
        <w:rPr/>
        <w:t>and</w:t>
      </w:r>
      <w:r>
        <w:rPr>
          <w:spacing w:val="-2"/>
        </w:rPr>
        <w:t> </w:t>
      </w:r>
      <w:r>
        <w:rPr/>
        <w:t>Changes</w:t>
      </w:r>
      <w:r>
        <w:rPr>
          <w:spacing w:val="-2"/>
        </w:rPr>
        <w:t> </w:t>
      </w:r>
      <w:r>
        <w:rPr/>
        <w:t>in</w:t>
      </w:r>
      <w:r>
        <w:rPr>
          <w:spacing w:val="-2"/>
        </w:rPr>
        <w:t> </w:t>
      </w:r>
      <w:r>
        <w:rPr/>
        <w:t>Net</w:t>
      </w:r>
      <w:r>
        <w:rPr>
          <w:spacing w:val="-2"/>
        </w:rPr>
        <w:t> </w:t>
      </w:r>
      <w:r>
        <w:rPr/>
        <w:t>Position,</w:t>
      </w:r>
      <w:r>
        <w:rPr>
          <w:spacing w:val="-6"/>
        </w:rPr>
        <w:t> </w:t>
      </w:r>
      <w:r>
        <w:rPr/>
        <w:t>but</w:t>
      </w:r>
      <w:r>
        <w:rPr>
          <w:spacing w:val="-2"/>
        </w:rPr>
        <w:t> </w:t>
      </w:r>
      <w:r>
        <w:rPr/>
        <w:t>are</w:t>
      </w:r>
      <w:r>
        <w:rPr>
          <w:spacing w:val="-3"/>
        </w:rPr>
        <w:t> </w:t>
      </w:r>
      <w:r>
        <w:rPr/>
        <w:t>reported</w:t>
      </w:r>
      <w:r>
        <w:rPr>
          <w:spacing w:val="-2"/>
        </w:rPr>
        <w:t> </w:t>
      </w:r>
      <w:r>
        <w:rPr/>
        <w:t>as</w:t>
      </w:r>
      <w:r>
        <w:rPr>
          <w:spacing w:val="-2"/>
        </w:rPr>
        <w:t> </w:t>
      </w:r>
      <w:r>
        <w:rPr/>
        <w:t>changes</w:t>
      </w:r>
      <w:r>
        <w:rPr>
          <w:spacing w:val="-2"/>
        </w:rPr>
        <w:t> </w:t>
      </w:r>
      <w:r>
        <w:rPr/>
        <w:t>to</w:t>
      </w:r>
      <w:r>
        <w:rPr>
          <w:spacing w:val="-2"/>
        </w:rPr>
        <w:t> </w:t>
      </w:r>
      <w:r>
        <w:rPr/>
        <w:t>Deposits</w:t>
      </w:r>
      <w:r>
        <w:rPr>
          <w:spacing w:val="-4"/>
        </w:rPr>
        <w:t> </w:t>
      </w:r>
      <w:r>
        <w:rPr/>
        <w:t>held in Custody on the Statement of Net Position.</w:t>
      </w:r>
    </w:p>
    <w:p>
      <w:pPr>
        <w:pStyle w:val="BodyText"/>
        <w:ind w:left="0"/>
      </w:pPr>
    </w:p>
    <w:p>
      <w:pPr>
        <w:pStyle w:val="Heading2"/>
        <w:tabs>
          <w:tab w:pos="1080" w:val="left" w:leader="none"/>
        </w:tabs>
        <w:rPr>
          <w:u w:val="none"/>
        </w:rPr>
      </w:pPr>
      <w:r>
        <w:rPr>
          <w:spacing w:val="-5"/>
          <w:u w:val="none"/>
        </w:rPr>
        <w:t>901</w:t>
      </w:r>
      <w:r>
        <w:rPr>
          <w:u w:val="none"/>
        </w:rPr>
        <w:tab/>
      </w:r>
      <w:r>
        <w:rPr>
          <w:u w:val="single"/>
        </w:rPr>
        <w:t>Agency-Custodial</w:t>
      </w:r>
      <w:r>
        <w:rPr>
          <w:spacing w:val="-11"/>
          <w:u w:val="single"/>
        </w:rPr>
        <w:t> </w:t>
      </w:r>
      <w:r>
        <w:rPr>
          <w:u w:val="single"/>
        </w:rPr>
        <w:t>Scholarship</w:t>
      </w:r>
      <w:r>
        <w:rPr>
          <w:spacing w:val="-10"/>
          <w:u w:val="single"/>
        </w:rPr>
        <w:t> </w:t>
      </w:r>
      <w:r>
        <w:rPr>
          <w:spacing w:val="-4"/>
          <w:u w:val="single"/>
        </w:rPr>
        <w:t>Fund</w:t>
      </w:r>
    </w:p>
    <w:p>
      <w:pPr>
        <w:pStyle w:val="BodyText"/>
        <w:ind w:right="352"/>
      </w:pPr>
      <w:r>
        <w:rPr/>
        <w:t>Resources held by an institution acting as a custodian or fiscal agent. The resources are deposited</w:t>
      </w:r>
      <w:r>
        <w:rPr>
          <w:spacing w:val="-2"/>
        </w:rPr>
        <w:t> </w:t>
      </w:r>
      <w:r>
        <w:rPr/>
        <w:t>with</w:t>
      </w:r>
      <w:r>
        <w:rPr>
          <w:spacing w:val="-4"/>
        </w:rPr>
        <w:t> </w:t>
      </w:r>
      <w:r>
        <w:rPr/>
        <w:t>the</w:t>
      </w:r>
      <w:r>
        <w:rPr>
          <w:spacing w:val="-3"/>
        </w:rPr>
        <w:t> </w:t>
      </w:r>
      <w:r>
        <w:rPr/>
        <w:t>institution</w:t>
      </w:r>
      <w:r>
        <w:rPr>
          <w:spacing w:val="-2"/>
        </w:rPr>
        <w:t> </w:t>
      </w:r>
      <w:r>
        <w:rPr/>
        <w:t>for</w:t>
      </w:r>
      <w:r>
        <w:rPr>
          <w:spacing w:val="-3"/>
        </w:rPr>
        <w:t> </w:t>
      </w:r>
      <w:r>
        <w:rPr/>
        <w:t>safekeeping</w:t>
      </w:r>
      <w:r>
        <w:rPr>
          <w:spacing w:val="-4"/>
        </w:rPr>
        <w:t> </w:t>
      </w:r>
      <w:r>
        <w:rPr/>
        <w:t>to</w:t>
      </w:r>
      <w:r>
        <w:rPr>
          <w:spacing w:val="-4"/>
        </w:rPr>
        <w:t> </w:t>
      </w:r>
      <w:r>
        <w:rPr/>
        <w:t>be</w:t>
      </w:r>
      <w:r>
        <w:rPr>
          <w:spacing w:val="-5"/>
        </w:rPr>
        <w:t> </w:t>
      </w:r>
      <w:r>
        <w:rPr/>
        <w:t>used</w:t>
      </w:r>
      <w:r>
        <w:rPr>
          <w:spacing w:val="-4"/>
        </w:rPr>
        <w:t> </w:t>
      </w:r>
      <w:r>
        <w:rPr/>
        <w:t>or</w:t>
      </w:r>
      <w:r>
        <w:rPr>
          <w:spacing w:val="-3"/>
        </w:rPr>
        <w:t> </w:t>
      </w:r>
      <w:r>
        <w:rPr/>
        <w:t>withdrawn</w:t>
      </w:r>
      <w:r>
        <w:rPr>
          <w:spacing w:val="-4"/>
        </w:rPr>
        <w:t> </w:t>
      </w:r>
      <w:r>
        <w:rPr/>
        <w:t>by</w:t>
      </w:r>
      <w:r>
        <w:rPr>
          <w:spacing w:val="-2"/>
        </w:rPr>
        <w:t> </w:t>
      </w:r>
      <w:r>
        <w:rPr/>
        <w:t>the</w:t>
      </w:r>
      <w:r>
        <w:rPr>
          <w:spacing w:val="-3"/>
        </w:rPr>
        <w:t> </w:t>
      </w:r>
      <w:r>
        <w:rPr/>
        <w:t>depositor</w:t>
      </w:r>
      <w:r>
        <w:rPr>
          <w:spacing w:val="-3"/>
        </w:rPr>
        <w:t> </w:t>
      </w:r>
      <w:r>
        <w:rPr/>
        <w:t>at will. (Examples-Scholarship checks sent to the university designated for a particular student and Federal Direct Loans are included in this fund code).</w:t>
      </w:r>
    </w:p>
    <w:p>
      <w:pPr>
        <w:pStyle w:val="BodyText"/>
        <w:ind w:left="0"/>
      </w:pPr>
    </w:p>
    <w:p>
      <w:pPr>
        <w:pStyle w:val="Heading2"/>
        <w:tabs>
          <w:tab w:pos="1079" w:val="left" w:leader="none"/>
        </w:tabs>
        <w:spacing w:before="1"/>
        <w:ind w:left="359"/>
        <w:rPr>
          <w:u w:val="none"/>
        </w:rPr>
      </w:pPr>
      <w:r>
        <w:rPr>
          <w:spacing w:val="-5"/>
          <w:u w:val="none"/>
        </w:rPr>
        <w:t>920</w:t>
      </w:r>
      <w:r>
        <w:rPr>
          <w:u w:val="none"/>
        </w:rPr>
        <w:tab/>
      </w:r>
      <w:r>
        <w:rPr>
          <w:u w:val="single"/>
        </w:rPr>
        <w:t>Component</w:t>
      </w:r>
      <w:r>
        <w:rPr>
          <w:spacing w:val="-5"/>
          <w:u w:val="single"/>
        </w:rPr>
        <w:t> </w:t>
      </w:r>
      <w:r>
        <w:rPr>
          <w:u w:val="single"/>
        </w:rPr>
        <w:t>Unit</w:t>
      </w:r>
      <w:r>
        <w:rPr>
          <w:spacing w:val="-4"/>
          <w:u w:val="single"/>
        </w:rPr>
        <w:t> </w:t>
      </w:r>
      <w:r>
        <w:rPr>
          <w:spacing w:val="-2"/>
          <w:u w:val="single"/>
        </w:rPr>
        <w:t>Investments</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UF</w:t>
      </w:r>
      <w:r>
        <w:rPr>
          <w:spacing w:val="-3"/>
        </w:rPr>
        <w:t> </w:t>
      </w:r>
      <w:r>
        <w:rPr/>
        <w:t>Component</w:t>
      </w:r>
      <w:r>
        <w:rPr>
          <w:spacing w:val="-4"/>
        </w:rPr>
        <w:t> </w:t>
      </w:r>
      <w:r>
        <w:rPr/>
        <w:t>Units.</w:t>
      </w:r>
      <w:r>
        <w:rPr>
          <w:spacing w:val="-6"/>
        </w:rPr>
        <w:t> </w:t>
      </w:r>
      <w:r>
        <w:rPr/>
        <w:t>The</w:t>
      </w:r>
      <w:r>
        <w:rPr>
          <w:spacing w:val="-5"/>
        </w:rPr>
        <w:t> </w:t>
      </w:r>
      <w:r>
        <w:rPr/>
        <w:t>University</w:t>
      </w:r>
      <w:r>
        <w:rPr>
          <w:spacing w:val="-1"/>
        </w:rPr>
        <w:t> </w:t>
      </w:r>
      <w:r>
        <w:rPr/>
        <w:t>invests</w:t>
      </w:r>
      <w:r>
        <w:rPr>
          <w:spacing w:val="-2"/>
        </w:rPr>
        <w:t> </w:t>
      </w:r>
      <w:r>
        <w:rPr/>
        <w:t>these</w:t>
      </w:r>
      <w:r>
        <w:rPr>
          <w:spacing w:val="-3"/>
        </w:rPr>
        <w:t> </w:t>
      </w:r>
      <w:r>
        <w:rPr/>
        <w:t>funds on their behalf.</w:t>
      </w:r>
    </w:p>
    <w:p>
      <w:pPr>
        <w:pStyle w:val="Heading2"/>
        <w:tabs>
          <w:tab w:pos="1079" w:val="left" w:leader="none"/>
        </w:tabs>
        <w:spacing w:before="275"/>
        <w:rPr>
          <w:u w:val="none"/>
        </w:rPr>
      </w:pPr>
      <w:r>
        <w:rPr>
          <w:spacing w:val="-5"/>
          <w:u w:val="none"/>
        </w:rPr>
        <w:t>991</w:t>
      </w:r>
      <w:r>
        <w:rPr>
          <w:u w:val="none"/>
        </w:rPr>
        <w:tab/>
      </w:r>
      <w:r>
        <w:rPr>
          <w:u w:val="single"/>
        </w:rPr>
        <w:t>Agency-Other</w:t>
      </w:r>
      <w:r>
        <w:rPr>
          <w:spacing w:val="-8"/>
          <w:u w:val="single"/>
        </w:rPr>
        <w:t> </w:t>
      </w:r>
      <w:r>
        <w:rPr>
          <w:u w:val="single"/>
        </w:rPr>
        <w:t>Agency</w:t>
      </w:r>
      <w:r>
        <w:rPr>
          <w:spacing w:val="-7"/>
          <w:u w:val="single"/>
        </w:rPr>
        <w:t> </w:t>
      </w:r>
      <w:r>
        <w:rPr>
          <w:spacing w:val="-4"/>
          <w:u w:val="single"/>
        </w:rPr>
        <w:t>Funds</w:t>
      </w:r>
    </w:p>
    <w:p>
      <w:pPr>
        <w:pStyle w:val="BodyText"/>
        <w:spacing w:before="2"/>
        <w:ind w:right="446"/>
      </w:pPr>
      <w:r>
        <w:rPr/>
        <w:t>The University of Florida holds monies from time to time as an agent for others. The University does not control how these monies are spent,</w:t>
      </w:r>
      <w:r>
        <w:rPr>
          <w:spacing w:val="-1"/>
        </w:rPr>
        <w:t> </w:t>
      </w:r>
      <w:r>
        <w:rPr/>
        <w:t>but the third parties who made the deposits control how their monies will be spent. Some examples of monies in this fund are: Student Fees for Athletics, held for distribution to The University Athletic Association,</w:t>
      </w:r>
      <w:r>
        <w:rPr>
          <w:spacing w:val="-4"/>
        </w:rPr>
        <w:t> </w:t>
      </w:r>
      <w:r>
        <w:rPr/>
        <w:t>Sales</w:t>
      </w:r>
      <w:r>
        <w:rPr>
          <w:spacing w:val="-5"/>
        </w:rPr>
        <w:t> </w:t>
      </w:r>
      <w:r>
        <w:rPr/>
        <w:t>Tax</w:t>
      </w:r>
      <w:r>
        <w:rPr>
          <w:spacing w:val="-3"/>
        </w:rPr>
        <w:t> </w:t>
      </w:r>
      <w:r>
        <w:rPr/>
        <w:t>collections</w:t>
      </w:r>
      <w:r>
        <w:rPr>
          <w:spacing w:val="-3"/>
        </w:rPr>
        <w:t> </w:t>
      </w:r>
      <w:r>
        <w:rPr/>
        <w:t>to</w:t>
      </w:r>
      <w:r>
        <w:rPr>
          <w:spacing w:val="-5"/>
        </w:rPr>
        <w:t> </w:t>
      </w:r>
      <w:r>
        <w:rPr/>
        <w:t>be</w:t>
      </w:r>
      <w:r>
        <w:rPr>
          <w:spacing w:val="-4"/>
        </w:rPr>
        <w:t> </w:t>
      </w:r>
      <w:r>
        <w:rPr/>
        <w:t>forwarded</w:t>
      </w:r>
      <w:r>
        <w:rPr>
          <w:spacing w:val="-3"/>
        </w:rPr>
        <w:t> </w:t>
      </w:r>
      <w:r>
        <w:rPr/>
        <w:t>to</w:t>
      </w:r>
      <w:r>
        <w:rPr>
          <w:spacing w:val="-3"/>
        </w:rPr>
        <w:t> </w:t>
      </w:r>
      <w:r>
        <w:rPr/>
        <w:t>the</w:t>
      </w:r>
      <w:r>
        <w:rPr>
          <w:spacing w:val="-4"/>
        </w:rPr>
        <w:t> </w:t>
      </w:r>
      <w:r>
        <w:rPr/>
        <w:t>State</w:t>
      </w:r>
      <w:r>
        <w:rPr>
          <w:spacing w:val="-4"/>
        </w:rPr>
        <w:t> </w:t>
      </w:r>
      <w:r>
        <w:rPr/>
        <w:t>Department</w:t>
      </w:r>
      <w:r>
        <w:rPr>
          <w:spacing w:val="-3"/>
        </w:rPr>
        <w:t> </w:t>
      </w:r>
      <w:r>
        <w:rPr/>
        <w:t>of</w:t>
      </w:r>
      <w:r>
        <w:rPr>
          <w:spacing w:val="-4"/>
        </w:rPr>
        <w:t> </w:t>
      </w:r>
      <w:r>
        <w:rPr/>
        <w:t>Revenue, and Gator 1 Card deposits.</w:t>
      </w:r>
    </w:p>
    <w:sectPr>
      <w:pgSz w:w="12240" w:h="15840"/>
      <w:pgMar w:header="0" w:footer="672" w:top="660" w:bottom="9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5"/>
      </w:rPr>
    </w:pPr>
    <w:r>
      <w:rPr>
        <w:sz w:val="15"/>
      </w:rPr>
      <mc:AlternateContent>
        <mc:Choice Requires="wps">
          <w:drawing>
            <wp:anchor distT="0" distB="0" distL="0" distR="0" allowOverlap="1" layoutInCell="1" locked="0" behindDoc="1" simplePos="0" relativeHeight="487389696">
              <wp:simplePos x="0" y="0"/>
              <wp:positionH relativeFrom="page">
                <wp:posOffset>3667759</wp:posOffset>
              </wp:positionH>
              <wp:positionV relativeFrom="page">
                <wp:posOffset>9448349</wp:posOffset>
              </wp:positionV>
              <wp:extent cx="8242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4230" cy="165735"/>
                      </a:xfrm>
                      <a:prstGeom prst="rect">
                        <a:avLst/>
                      </a:prstGeom>
                    </wps:spPr>
                    <wps:txbx>
                      <w:txbxContent>
                        <w:p>
                          <w:pPr>
                            <w:spacing w:before="10"/>
                            <w:ind w:left="20" w:right="0" w:firstLine="0"/>
                            <w:jc w:val="left"/>
                            <w:rPr>
                              <w:b/>
                              <w:sz w:val="20"/>
                            </w:rPr>
                          </w:pPr>
                          <w:r>
                            <w:rPr>
                              <w:sz w:val="20"/>
                            </w:rPr>
                            <w:t>Page</w:t>
                          </w:r>
                          <w:r>
                            <w:rPr>
                              <w:spacing w:val="48"/>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47"/>
                              <w:sz w:val="20"/>
                            </w:rPr>
                            <w:t> </w:t>
                          </w:r>
                          <w:r>
                            <w:rPr>
                              <w:sz w:val="20"/>
                            </w:rPr>
                            <w:t>of</w:t>
                          </w:r>
                          <w:r>
                            <w:rPr>
                              <w:spacing w:val="47"/>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15</w:t>
                          </w:r>
                          <w:r>
                            <w:rPr>
                              <w:b/>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799988pt;margin-top:743.964539pt;width:64.9pt;height:13.05pt;mso-position-horizontal-relative:page;mso-position-vertical-relative:page;z-index:-15926784" type="#_x0000_t202" id="docshape1" filled="false" stroked="false">
              <v:textbox inset="0,0,0,0">
                <w:txbxContent>
                  <w:p>
                    <w:pPr>
                      <w:spacing w:before="10"/>
                      <w:ind w:left="20" w:right="0" w:firstLine="0"/>
                      <w:jc w:val="left"/>
                      <w:rPr>
                        <w:b/>
                        <w:sz w:val="20"/>
                      </w:rPr>
                    </w:pPr>
                    <w:r>
                      <w:rPr>
                        <w:sz w:val="20"/>
                      </w:rPr>
                      <w:t>Page</w:t>
                    </w:r>
                    <w:r>
                      <w:rPr>
                        <w:spacing w:val="48"/>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47"/>
                        <w:sz w:val="20"/>
                      </w:rPr>
                      <w:t> </w:t>
                    </w:r>
                    <w:r>
                      <w:rPr>
                        <w:sz w:val="20"/>
                      </w:rPr>
                      <w:t>of</w:t>
                    </w:r>
                    <w:r>
                      <w:rPr>
                        <w:spacing w:val="47"/>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15</w:t>
                    </w:r>
                    <w:r>
                      <w:rPr>
                        <w:b/>
                        <w:spacing w:val="-5"/>
                        <w:sz w:val="20"/>
                      </w:rPr>
                      <w:fldChar w:fldCharType="end"/>
                    </w:r>
                  </w:p>
                </w:txbxContent>
              </v:textbox>
              <w10:wrap type="none"/>
            </v:shape>
          </w:pict>
        </mc:Fallback>
      </mc:AlternateContent>
    </w:r>
    <w:r>
      <w:rPr>
        <w:sz w:val="15"/>
      </w:rPr>
      <mc:AlternateContent>
        <mc:Choice Requires="wps">
          <w:drawing>
            <wp:anchor distT="0" distB="0" distL="0" distR="0" allowOverlap="1" layoutInCell="1" locked="0" behindDoc="1" simplePos="0" relativeHeight="487390208">
              <wp:simplePos x="0" y="0"/>
              <wp:positionH relativeFrom="page">
                <wp:posOffset>5976618</wp:posOffset>
              </wp:positionH>
              <wp:positionV relativeFrom="page">
                <wp:posOffset>9448349</wp:posOffset>
              </wp:positionV>
              <wp:extent cx="13525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52550" cy="165735"/>
                      </a:xfrm>
                      <a:prstGeom prst="rect">
                        <a:avLst/>
                      </a:prstGeom>
                    </wps:spPr>
                    <wps:txbx>
                      <w:txbxContent>
                        <w:p>
                          <w:pPr>
                            <w:spacing w:before="10"/>
                            <w:ind w:left="20" w:right="0" w:firstLine="0"/>
                            <w:jc w:val="left"/>
                            <w:rPr>
                              <w:sz w:val="20"/>
                            </w:rPr>
                          </w:pPr>
                          <w:r>
                            <w:rPr>
                              <w:sz w:val="20"/>
                            </w:rPr>
                            <w:t>Last</w:t>
                          </w:r>
                          <w:r>
                            <w:rPr>
                              <w:spacing w:val="-5"/>
                              <w:sz w:val="20"/>
                            </w:rPr>
                            <w:t> </w:t>
                          </w:r>
                          <w:r>
                            <w:rPr>
                              <w:sz w:val="20"/>
                            </w:rPr>
                            <w:t>Updated:</w:t>
                          </w:r>
                          <w:r>
                            <w:rPr>
                              <w:spacing w:val="-5"/>
                              <w:sz w:val="20"/>
                            </w:rPr>
                            <w:t> </w:t>
                          </w:r>
                          <w:r>
                            <w:rPr>
                              <w:spacing w:val="-2"/>
                              <w:sz w:val="20"/>
                            </w:rPr>
                            <w:t>12/21/2022</w:t>
                          </w:r>
                        </w:p>
                      </w:txbxContent>
                    </wps:txbx>
                    <wps:bodyPr wrap="square" lIns="0" tIns="0" rIns="0" bIns="0" rtlCol="0">
                      <a:noAutofit/>
                    </wps:bodyPr>
                  </wps:wsp>
                </a:graphicData>
              </a:graphic>
            </wp:anchor>
          </w:drawing>
        </mc:Choice>
        <mc:Fallback>
          <w:pict>
            <v:shape style="position:absolute;margin-left:470.599884pt;margin-top:743.964539pt;width:106.5pt;height:13.05pt;mso-position-horizontal-relative:page;mso-position-vertical-relative:page;z-index:-15926272" type="#_x0000_t202" id="docshape2" filled="false" stroked="false">
              <v:textbox inset="0,0,0,0">
                <w:txbxContent>
                  <w:p>
                    <w:pPr>
                      <w:spacing w:before="10"/>
                      <w:ind w:left="20" w:right="0" w:firstLine="0"/>
                      <w:jc w:val="left"/>
                      <w:rPr>
                        <w:sz w:val="20"/>
                      </w:rPr>
                    </w:pPr>
                    <w:r>
                      <w:rPr>
                        <w:sz w:val="20"/>
                      </w:rPr>
                      <w:t>Last</w:t>
                    </w:r>
                    <w:r>
                      <w:rPr>
                        <w:spacing w:val="-5"/>
                        <w:sz w:val="20"/>
                      </w:rPr>
                      <w:t> </w:t>
                    </w:r>
                    <w:r>
                      <w:rPr>
                        <w:sz w:val="20"/>
                      </w:rPr>
                      <w:t>Updated:</w:t>
                    </w:r>
                    <w:r>
                      <w:rPr>
                        <w:spacing w:val="-5"/>
                        <w:sz w:val="20"/>
                      </w:rPr>
                      <w:t> </w:t>
                    </w:r>
                    <w:r>
                      <w:rPr>
                        <w:spacing w:val="-2"/>
                        <w:sz w:val="20"/>
                      </w:rPr>
                      <w:t>12/21/2022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11"/>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11">
    <w:multiLevelType w:val="hybridMultilevel"/>
    <w:lvl w:ilvl="0">
      <w:start w:val="185"/>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10">
    <w:multiLevelType w:val="hybridMultilevel"/>
    <w:lvl w:ilvl="0">
      <w:start w:val="181"/>
      <w:numFmt w:val="decimal"/>
      <w:lvlText w:val="%1"/>
      <w:lvlJc w:val="left"/>
      <w:pPr>
        <w:ind w:left="107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9">
    <w:multiLevelType w:val="hybridMultilevel"/>
    <w:lvl w:ilvl="0">
      <w:start w:val="161"/>
      <w:numFmt w:val="decimal"/>
      <w:lvlText w:val="%1"/>
      <w:lvlJc w:val="left"/>
      <w:pPr>
        <w:ind w:left="107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8">
    <w:multiLevelType w:val="hybridMultilevel"/>
    <w:lvl w:ilvl="0">
      <w:start w:val="158"/>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7">
    <w:multiLevelType w:val="hybridMultilevel"/>
    <w:lvl w:ilvl="0">
      <w:start w:val="151"/>
      <w:numFmt w:val="decimal"/>
      <w:lvlText w:val="%1"/>
      <w:lvlJc w:val="left"/>
      <w:pPr>
        <w:ind w:left="1060" w:hanging="701"/>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06" w:hanging="701"/>
      </w:pPr>
      <w:rPr>
        <w:rFonts w:hint="default"/>
        <w:lang w:val="en-US" w:eastAsia="en-US" w:bidi="ar-SA"/>
      </w:rPr>
    </w:lvl>
    <w:lvl w:ilvl="2">
      <w:start w:val="0"/>
      <w:numFmt w:val="bullet"/>
      <w:lvlText w:val="•"/>
      <w:lvlJc w:val="left"/>
      <w:pPr>
        <w:ind w:left="3152" w:hanging="701"/>
      </w:pPr>
      <w:rPr>
        <w:rFonts w:hint="default"/>
        <w:lang w:val="en-US" w:eastAsia="en-US" w:bidi="ar-SA"/>
      </w:rPr>
    </w:lvl>
    <w:lvl w:ilvl="3">
      <w:start w:val="0"/>
      <w:numFmt w:val="bullet"/>
      <w:lvlText w:val="•"/>
      <w:lvlJc w:val="left"/>
      <w:pPr>
        <w:ind w:left="4198" w:hanging="701"/>
      </w:pPr>
      <w:rPr>
        <w:rFonts w:hint="default"/>
        <w:lang w:val="en-US" w:eastAsia="en-US" w:bidi="ar-SA"/>
      </w:rPr>
    </w:lvl>
    <w:lvl w:ilvl="4">
      <w:start w:val="0"/>
      <w:numFmt w:val="bullet"/>
      <w:lvlText w:val="•"/>
      <w:lvlJc w:val="left"/>
      <w:pPr>
        <w:ind w:left="5244" w:hanging="701"/>
      </w:pPr>
      <w:rPr>
        <w:rFonts w:hint="default"/>
        <w:lang w:val="en-US" w:eastAsia="en-US" w:bidi="ar-SA"/>
      </w:rPr>
    </w:lvl>
    <w:lvl w:ilvl="5">
      <w:start w:val="0"/>
      <w:numFmt w:val="bullet"/>
      <w:lvlText w:val="•"/>
      <w:lvlJc w:val="left"/>
      <w:pPr>
        <w:ind w:left="6290" w:hanging="701"/>
      </w:pPr>
      <w:rPr>
        <w:rFonts w:hint="default"/>
        <w:lang w:val="en-US" w:eastAsia="en-US" w:bidi="ar-SA"/>
      </w:rPr>
    </w:lvl>
    <w:lvl w:ilvl="6">
      <w:start w:val="0"/>
      <w:numFmt w:val="bullet"/>
      <w:lvlText w:val="•"/>
      <w:lvlJc w:val="left"/>
      <w:pPr>
        <w:ind w:left="7336" w:hanging="701"/>
      </w:pPr>
      <w:rPr>
        <w:rFonts w:hint="default"/>
        <w:lang w:val="en-US" w:eastAsia="en-US" w:bidi="ar-SA"/>
      </w:rPr>
    </w:lvl>
    <w:lvl w:ilvl="7">
      <w:start w:val="0"/>
      <w:numFmt w:val="bullet"/>
      <w:lvlText w:val="•"/>
      <w:lvlJc w:val="left"/>
      <w:pPr>
        <w:ind w:left="8382" w:hanging="701"/>
      </w:pPr>
      <w:rPr>
        <w:rFonts w:hint="default"/>
        <w:lang w:val="en-US" w:eastAsia="en-US" w:bidi="ar-SA"/>
      </w:rPr>
    </w:lvl>
    <w:lvl w:ilvl="8">
      <w:start w:val="0"/>
      <w:numFmt w:val="bullet"/>
      <w:lvlText w:val="•"/>
      <w:lvlJc w:val="left"/>
      <w:pPr>
        <w:ind w:left="9428" w:hanging="701"/>
      </w:pPr>
      <w:rPr>
        <w:rFonts w:hint="default"/>
        <w:lang w:val="en-US" w:eastAsia="en-US" w:bidi="ar-SA"/>
      </w:rPr>
    </w:lvl>
  </w:abstractNum>
  <w:abstractNum w:abstractNumId="6">
    <w:multiLevelType w:val="hybridMultilevel"/>
    <w:lvl w:ilvl="0">
      <w:start w:val="141"/>
      <w:numFmt w:val="decimal"/>
      <w:lvlText w:val="%1"/>
      <w:lvlJc w:val="left"/>
      <w:pPr>
        <w:ind w:left="107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5">
    <w:multiLevelType w:val="hybridMultilevel"/>
    <w:lvl w:ilvl="0">
      <w:start w:val="131"/>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4">
    <w:multiLevelType w:val="hybridMultilevel"/>
    <w:lvl w:ilvl="0">
      <w:start w:val="125"/>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3">
    <w:multiLevelType w:val="hybridMultilevel"/>
    <w:lvl w:ilvl="0">
      <w:start w:val="121"/>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2">
    <w:multiLevelType w:val="hybridMultilevel"/>
    <w:lvl w:ilvl="0">
      <w:start w:val="111"/>
      <w:numFmt w:val="decimal"/>
      <w:lvlText w:val="%1"/>
      <w:lvlJc w:val="left"/>
      <w:pPr>
        <w:ind w:left="107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1">
    <w:multiLevelType w:val="hybridMultilevel"/>
    <w:lvl w:ilvl="0">
      <w:start w:val="105"/>
      <w:numFmt w:val="decimal"/>
      <w:lvlText w:val="%1"/>
      <w:lvlJc w:val="left"/>
      <w:pPr>
        <w:ind w:left="1080"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0">
    <w:multiLevelType w:val="hybridMultilevel"/>
    <w:lvl w:ilvl="0">
      <w:start w:val="101"/>
      <w:numFmt w:val="decimal"/>
      <w:lvlText w:val="%1"/>
      <w:lvlJc w:val="left"/>
      <w:pPr>
        <w:ind w:left="107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ind w:left="1079" w:hanging="719"/>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gahelp@ad.ufl.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Operations Analysis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Margjoni,Brunilda</dc:creator>
  <dc:title>FUND</dc:title>
  <dcterms:created xsi:type="dcterms:W3CDTF">2026-03-31T17:02:51Z</dcterms:created>
  <dcterms:modified xsi:type="dcterms:W3CDTF">2026-03-31T17:02:51Z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Acrobat PDFMaker 22 for Word</vt:lpwstr>
  </property>
  <property fmtid="{D5CDD505-2E9C-101B-9397-08002B2CF9AE}" pid="4" name="LastSaved">
    <vt:filetime>2026-03-31T00:00:00Z</vt:filetime>
  </property>
  <property fmtid="{D5CDD505-2E9C-101B-9397-08002B2CF9AE}" pid="5" name="Producer">
    <vt:lpwstr>Adobe PDF Library 22.3.58</vt:lpwstr>
  </property>
  <property fmtid="{D5CDD505-2E9C-101B-9397-08002B2CF9AE}" pid="6" name="SourceModified">
    <vt:lpwstr>D:20221221184402</vt:lpwstr>
  </property>
</Properties>
</file>