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w:t>Prior</w:t>
      </w:r>
      <w:r>
        <w:rPr>
          <w:spacing w:val="-5"/>
        </w:rPr>
        <w:t> </w:t>
      </w:r>
      <w:r>
        <w:rPr/>
        <w:t>Fiscal</w:t>
      </w:r>
      <w:r>
        <w:rPr>
          <w:spacing w:val="-1"/>
        </w:rPr>
        <w:t> </w:t>
      </w:r>
      <w:r>
        <w:rPr/>
        <w:t>Year</w:t>
      </w:r>
      <w:r>
        <w:rPr>
          <w:spacing w:val="-2"/>
        </w:rPr>
        <w:t> </w:t>
      </w:r>
      <w:r>
        <w:rPr/>
        <w:t>Expense</w:t>
      </w:r>
      <w:r>
        <w:rPr>
          <w:spacing w:val="-3"/>
        </w:rPr>
        <w:t> </w:t>
      </w:r>
      <w:r>
        <w:rPr>
          <w:spacing w:val="-2"/>
        </w:rPr>
        <w:t>Corrections</w:t>
      </w:r>
    </w:p>
    <w:p>
      <w:pPr>
        <w:pStyle w:val="BodyText"/>
        <w:spacing w:before="275"/>
      </w:pPr>
      <w:r>
        <w:rPr/>
        <w:t>All</w:t>
      </w:r>
      <w:r>
        <w:rPr>
          <w:spacing w:val="-4"/>
        </w:rPr>
        <w:t> </w:t>
      </w:r>
      <w:r>
        <w:rPr/>
        <w:t>prior</w:t>
      </w:r>
      <w:r>
        <w:rPr>
          <w:spacing w:val="-5"/>
        </w:rPr>
        <w:t> </w:t>
      </w:r>
      <w:r>
        <w:rPr/>
        <w:t>fiscal</w:t>
      </w:r>
      <w:r>
        <w:rPr>
          <w:spacing w:val="-4"/>
        </w:rPr>
        <w:t> </w:t>
      </w:r>
      <w:r>
        <w:rPr/>
        <w:t>year</w:t>
      </w:r>
      <w:r>
        <w:rPr>
          <w:spacing w:val="-7"/>
        </w:rPr>
        <w:t> </w:t>
      </w:r>
      <w:r>
        <w:rPr/>
        <w:t>expense</w:t>
      </w:r>
      <w:r>
        <w:rPr>
          <w:spacing w:val="-3"/>
        </w:rPr>
        <w:t> </w:t>
      </w:r>
      <w:r>
        <w:rPr/>
        <w:t>corrections</w:t>
      </w:r>
      <w:r>
        <w:rPr>
          <w:spacing w:val="-4"/>
        </w:rPr>
        <w:t> </w:t>
      </w:r>
      <w:r>
        <w:rPr/>
        <w:t>(cash</w:t>
      </w:r>
      <w:r>
        <w:rPr>
          <w:spacing w:val="-5"/>
        </w:rPr>
        <w:t> </w:t>
      </w:r>
      <w:r>
        <w:rPr/>
        <w:t>expense</w:t>
      </w:r>
      <w:r>
        <w:rPr>
          <w:spacing w:val="-3"/>
        </w:rPr>
        <w:t> </w:t>
      </w:r>
      <w:r>
        <w:rPr/>
        <w:t>refunds,</w:t>
      </w:r>
      <w:r>
        <w:rPr>
          <w:spacing w:val="-3"/>
        </w:rPr>
        <w:t> </w:t>
      </w:r>
      <w:r>
        <w:rPr/>
        <w:t>E2E’s,</w:t>
      </w:r>
      <w:r>
        <w:rPr>
          <w:spacing w:val="-3"/>
        </w:rPr>
        <w:t> </w:t>
      </w:r>
      <w:r>
        <w:rPr/>
        <w:t>wage</w:t>
      </w:r>
      <w:r>
        <w:rPr>
          <w:spacing w:val="-3"/>
        </w:rPr>
        <w:t> </w:t>
      </w:r>
      <w:r>
        <w:rPr/>
        <w:t>refunds,</w:t>
      </w:r>
      <w:r>
        <w:rPr>
          <w:spacing w:val="-3"/>
        </w:rPr>
        <w:t> </w:t>
      </w:r>
      <w:r>
        <w:rPr/>
        <w:t>retros) should be posted to the chartfield where the original expense was posted.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27" w:hanging="360"/>
        <w:jc w:val="left"/>
        <w:rPr>
          <w:sz w:val="24"/>
        </w:rPr>
      </w:pPr>
      <w:r>
        <w:rPr>
          <w:sz w:val="24"/>
        </w:rPr>
        <w:t>Corrections will be posted to the current fiscal year and accounting period. If budget does</w:t>
      </w:r>
      <w:r>
        <w:rPr>
          <w:spacing w:val="-4"/>
          <w:sz w:val="24"/>
        </w:rPr>
        <w:t> </w:t>
      </w:r>
      <w:r>
        <w:rPr>
          <w:sz w:val="24"/>
        </w:rPr>
        <w:t>not</w:t>
      </w:r>
      <w:r>
        <w:rPr>
          <w:spacing w:val="-4"/>
          <w:sz w:val="24"/>
        </w:rPr>
        <w:t> </w:t>
      </w:r>
      <w:r>
        <w:rPr>
          <w:sz w:val="24"/>
        </w:rPr>
        <w:t>exist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chartfield</w:t>
      </w:r>
      <w:r>
        <w:rPr>
          <w:spacing w:val="-1"/>
          <w:sz w:val="24"/>
        </w:rPr>
        <w:t> </w:t>
      </w:r>
      <w:r>
        <w:rPr>
          <w:sz w:val="24"/>
        </w:rPr>
        <w:t>string</w:t>
      </w:r>
      <w:r>
        <w:rPr>
          <w:spacing w:val="-3"/>
          <w:sz w:val="24"/>
        </w:rPr>
        <w:t> </w:t>
      </w:r>
      <w:r>
        <w:rPr>
          <w:sz w:val="24"/>
        </w:rPr>
        <w:t>corrected,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zero</w:t>
      </w:r>
      <w:r>
        <w:rPr>
          <w:spacing w:val="-3"/>
          <w:sz w:val="24"/>
        </w:rPr>
        <w:t> </w:t>
      </w:r>
      <w:r>
        <w:rPr>
          <w:sz w:val="24"/>
        </w:rPr>
        <w:t>dollar</w:t>
      </w:r>
      <w:r>
        <w:rPr>
          <w:spacing w:val="-5"/>
          <w:sz w:val="24"/>
        </w:rPr>
        <w:t> </w:t>
      </w:r>
      <w:r>
        <w:rPr>
          <w:sz w:val="24"/>
        </w:rPr>
        <w:t>budget</w:t>
      </w:r>
      <w:r>
        <w:rPr>
          <w:spacing w:val="-4"/>
          <w:sz w:val="24"/>
        </w:rPr>
        <w:t> </w:t>
      </w:r>
      <w:r>
        <w:rPr>
          <w:sz w:val="24"/>
        </w:rPr>
        <w:t>request</w:t>
      </w:r>
      <w:r>
        <w:rPr>
          <w:spacing w:val="-1"/>
          <w:sz w:val="24"/>
        </w:rPr>
        <w:t> </w:t>
      </w:r>
      <w:r>
        <w:rPr>
          <w:sz w:val="24"/>
        </w:rPr>
        <w:t>can</w:t>
      </w:r>
      <w:r>
        <w:rPr>
          <w:spacing w:val="-1"/>
          <w:sz w:val="24"/>
        </w:rPr>
        <w:t> </w:t>
      </w:r>
      <w:r>
        <w:rPr>
          <w:sz w:val="24"/>
        </w:rPr>
        <w:t>be</w:t>
      </w:r>
      <w:r>
        <w:rPr>
          <w:spacing w:val="-1"/>
          <w:sz w:val="24"/>
        </w:rPr>
        <w:t> </w:t>
      </w:r>
      <w:r>
        <w:rPr>
          <w:sz w:val="24"/>
        </w:rPr>
        <w:t>sent to </w:t>
      </w:r>
      <w:hyperlink r:id="rId6">
        <w:r>
          <w:rPr>
            <w:color w:val="0000FF"/>
            <w:sz w:val="24"/>
            <w:u w:val="single" w:color="0000FF"/>
          </w:rPr>
          <w:t>General Accounting</w:t>
        </w:r>
      </w:hyperlink>
      <w:r>
        <w:rPr>
          <w:sz w:val="24"/>
          <w:u w:val="none"/>
        </w:rPr>
        <w:t>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72" w:after="0"/>
        <w:ind w:left="720" w:right="497" w:hanging="360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original</w:t>
      </w:r>
      <w:r>
        <w:rPr>
          <w:spacing w:val="-3"/>
          <w:sz w:val="24"/>
        </w:rPr>
        <w:t> </w:t>
      </w:r>
      <w:r>
        <w:rPr>
          <w:sz w:val="24"/>
        </w:rPr>
        <w:t>transaction</w:t>
      </w:r>
      <w:r>
        <w:rPr>
          <w:spacing w:val="-2"/>
          <w:sz w:val="24"/>
        </w:rPr>
        <w:t> </w:t>
      </w:r>
      <w:r>
        <w:rPr>
          <w:sz w:val="24"/>
        </w:rPr>
        <w:t>ID</w:t>
      </w:r>
      <w:r>
        <w:rPr>
          <w:spacing w:val="-3"/>
          <w:sz w:val="24"/>
        </w:rPr>
        <w:t> </w:t>
      </w:r>
      <w:r>
        <w:rPr>
          <w:sz w:val="24"/>
        </w:rPr>
        <w:t>(voucher</w:t>
      </w:r>
      <w:r>
        <w:rPr>
          <w:spacing w:val="-4"/>
          <w:sz w:val="24"/>
        </w:rPr>
        <w:t> </w:t>
      </w:r>
      <w:r>
        <w:rPr>
          <w:sz w:val="24"/>
        </w:rPr>
        <w:t>number,</w:t>
      </w:r>
      <w:r>
        <w:rPr>
          <w:spacing w:val="-5"/>
          <w:sz w:val="24"/>
        </w:rPr>
        <w:t> </w:t>
      </w:r>
      <w:r>
        <w:rPr>
          <w:sz w:val="24"/>
        </w:rPr>
        <w:t>expense</w:t>
      </w:r>
      <w:r>
        <w:rPr>
          <w:spacing w:val="-2"/>
          <w:sz w:val="24"/>
        </w:rPr>
        <w:t> </w:t>
      </w:r>
      <w:r>
        <w:rPr>
          <w:sz w:val="24"/>
        </w:rPr>
        <w:t>report,</w:t>
      </w:r>
      <w:r>
        <w:rPr>
          <w:spacing w:val="-5"/>
          <w:sz w:val="24"/>
        </w:rPr>
        <w:t> </w:t>
      </w:r>
      <w:r>
        <w:rPr>
          <w:sz w:val="24"/>
        </w:rPr>
        <w:t>or</w:t>
      </w:r>
      <w:r>
        <w:rPr>
          <w:spacing w:val="-4"/>
          <w:sz w:val="24"/>
        </w:rPr>
        <w:t> </w:t>
      </w:r>
      <w:r>
        <w:rPr>
          <w:sz w:val="24"/>
        </w:rPr>
        <w:t>journal</w:t>
      </w:r>
      <w:r>
        <w:rPr>
          <w:spacing w:val="-3"/>
          <w:sz w:val="24"/>
        </w:rPr>
        <w:t> </w:t>
      </w:r>
      <w:r>
        <w:rPr>
          <w:sz w:val="24"/>
        </w:rPr>
        <w:t>ID)</w:t>
      </w:r>
      <w:r>
        <w:rPr>
          <w:spacing w:val="-4"/>
          <w:sz w:val="24"/>
        </w:rPr>
        <w:t> </w:t>
      </w:r>
      <w:r>
        <w:rPr>
          <w:sz w:val="24"/>
        </w:rPr>
        <w:t>must</w:t>
      </w:r>
      <w:r>
        <w:rPr>
          <w:spacing w:val="-5"/>
          <w:sz w:val="24"/>
        </w:rPr>
        <w:t> </w:t>
      </w:r>
      <w:r>
        <w:rPr>
          <w:sz w:val="24"/>
        </w:rPr>
        <w:t>be included on any expense refunds or E2E corrections.</w:t>
      </w: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275" w:after="0"/>
        <w:ind w:left="720" w:right="659" w:hanging="360"/>
        <w:jc w:val="left"/>
        <w:rPr>
          <w:sz w:val="24"/>
        </w:rPr>
      </w:pPr>
      <w:r>
        <w:rPr>
          <w:sz w:val="24"/>
        </w:rPr>
        <w:t>Prior</w:t>
      </w:r>
      <w:r>
        <w:rPr>
          <w:spacing w:val="-4"/>
          <w:sz w:val="24"/>
        </w:rPr>
        <w:t> </w:t>
      </w:r>
      <w:r>
        <w:rPr>
          <w:sz w:val="24"/>
        </w:rPr>
        <w:t>term</w:t>
      </w:r>
      <w:r>
        <w:rPr>
          <w:spacing w:val="-4"/>
          <w:sz w:val="24"/>
        </w:rPr>
        <w:t> </w:t>
      </w:r>
      <w:r>
        <w:rPr>
          <w:sz w:val="24"/>
        </w:rPr>
        <w:t>direct</w:t>
      </w:r>
      <w:r>
        <w:rPr>
          <w:spacing w:val="-2"/>
          <w:sz w:val="24"/>
        </w:rPr>
        <w:t> </w:t>
      </w:r>
      <w:r>
        <w:rPr>
          <w:sz w:val="24"/>
        </w:rPr>
        <w:t>tuition</w:t>
      </w:r>
      <w:r>
        <w:rPr>
          <w:spacing w:val="-4"/>
          <w:sz w:val="24"/>
        </w:rPr>
        <w:t> </w:t>
      </w:r>
      <w:r>
        <w:rPr>
          <w:sz w:val="24"/>
        </w:rPr>
        <w:t>charge</w:t>
      </w:r>
      <w:r>
        <w:rPr>
          <w:spacing w:val="-4"/>
          <w:sz w:val="24"/>
        </w:rPr>
        <w:t> </w:t>
      </w:r>
      <w:r>
        <w:rPr>
          <w:sz w:val="24"/>
        </w:rPr>
        <w:t>corrections</w:t>
      </w:r>
      <w:r>
        <w:rPr>
          <w:spacing w:val="-3"/>
          <w:sz w:val="24"/>
        </w:rPr>
        <w:t> </w:t>
      </w:r>
      <w:r>
        <w:rPr>
          <w:sz w:val="24"/>
        </w:rPr>
        <w:t>(corrections</w:t>
      </w:r>
      <w:r>
        <w:rPr>
          <w:spacing w:val="-3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LOAxxxxxx</w:t>
      </w:r>
      <w:r>
        <w:rPr>
          <w:spacing w:val="-5"/>
          <w:sz w:val="24"/>
        </w:rPr>
        <w:t> </w:t>
      </w:r>
      <w:r>
        <w:rPr>
          <w:sz w:val="24"/>
        </w:rPr>
        <w:t>journals)</w:t>
      </w:r>
      <w:r>
        <w:rPr>
          <w:spacing w:val="-4"/>
          <w:sz w:val="24"/>
        </w:rPr>
        <w:t> </w:t>
      </w:r>
      <w:r>
        <w:rPr>
          <w:sz w:val="24"/>
        </w:rPr>
        <w:t>will follow procedures set by the Office of the Provost.</w:t>
      </w:r>
    </w:p>
    <w:p>
      <w:pPr>
        <w:pStyle w:val="BodyText"/>
        <w:spacing w:before="273"/>
      </w:pPr>
    </w:p>
    <w:p>
      <w:pPr>
        <w:pStyle w:val="Heading2"/>
      </w:pPr>
      <w:r>
        <w:rPr/>
        <w:t>Additional</w:t>
      </w:r>
      <w:r>
        <w:rPr>
          <w:spacing w:val="-9"/>
        </w:rPr>
        <w:t> </w:t>
      </w:r>
      <w:r>
        <w:rPr/>
        <w:t>Information</w:t>
      </w:r>
      <w:r>
        <w:rPr>
          <w:spacing w:val="-6"/>
        </w:rPr>
        <w:t> </w:t>
      </w:r>
      <w:r>
        <w:rPr/>
        <w:t>for</w:t>
      </w:r>
      <w:r>
        <w:rPr>
          <w:spacing w:val="-6"/>
        </w:rPr>
        <w:t> </w:t>
      </w:r>
      <w:r>
        <w:rPr/>
        <w:t>Prior</w:t>
      </w:r>
      <w:r>
        <w:rPr>
          <w:spacing w:val="-6"/>
        </w:rPr>
        <w:t> </w:t>
      </w:r>
      <w:r>
        <w:rPr/>
        <w:t>Fiscal</w:t>
      </w:r>
      <w:r>
        <w:rPr>
          <w:spacing w:val="-6"/>
        </w:rPr>
        <w:t> </w:t>
      </w:r>
      <w:r>
        <w:rPr/>
        <w:t>Year</w:t>
      </w:r>
      <w:r>
        <w:rPr>
          <w:spacing w:val="-6"/>
        </w:rPr>
        <w:t> </w:t>
      </w:r>
      <w:r>
        <w:rPr/>
        <w:t>Payroll</w:t>
      </w:r>
      <w:r>
        <w:rPr>
          <w:spacing w:val="-6"/>
        </w:rPr>
        <w:t> </w:t>
      </w:r>
      <w:r>
        <w:rPr>
          <w:spacing w:val="-2"/>
        </w:rPr>
        <w:t>Retros: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50" w:val="left" w:leader="none"/>
        </w:tabs>
        <w:spacing w:line="240" w:lineRule="auto" w:before="1" w:after="0"/>
        <w:ind w:left="150" w:right="0" w:hanging="150"/>
        <w:jc w:val="left"/>
        <w:rPr>
          <w:sz w:val="24"/>
        </w:rPr>
      </w:pPr>
      <w:r>
        <w:rPr>
          <w:sz w:val="24"/>
        </w:rPr>
        <w:t>Payroll</w:t>
      </w:r>
      <w:r>
        <w:rPr>
          <w:spacing w:val="-5"/>
          <w:sz w:val="24"/>
        </w:rPr>
        <w:t> </w:t>
      </w:r>
      <w:r>
        <w:rPr>
          <w:sz w:val="24"/>
        </w:rPr>
        <w:t>retros</w:t>
      </w:r>
      <w:r>
        <w:rPr>
          <w:spacing w:val="-4"/>
          <w:sz w:val="24"/>
        </w:rPr>
        <w:t> </w:t>
      </w:r>
      <w:r>
        <w:rPr>
          <w:sz w:val="24"/>
        </w:rPr>
        <w:t>are</w:t>
      </w:r>
      <w:r>
        <w:rPr>
          <w:spacing w:val="-1"/>
          <w:sz w:val="24"/>
        </w:rPr>
        <w:t> </w:t>
      </w:r>
      <w:r>
        <w:rPr>
          <w:sz w:val="24"/>
        </w:rPr>
        <w:t>allowed</w:t>
      </w:r>
      <w:r>
        <w:rPr>
          <w:spacing w:val="-1"/>
          <w:sz w:val="24"/>
        </w:rPr>
        <w:t> </w:t>
      </w:r>
      <w:r>
        <w:rPr>
          <w:sz w:val="24"/>
        </w:rPr>
        <w:t>for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past</w:t>
      </w:r>
      <w:r>
        <w:rPr>
          <w:spacing w:val="-4"/>
          <w:sz w:val="24"/>
        </w:rPr>
        <w:t> </w:t>
      </w:r>
      <w:r>
        <w:rPr>
          <w:sz w:val="24"/>
        </w:rPr>
        <w:t>two</w:t>
      </w:r>
      <w:r>
        <w:rPr>
          <w:spacing w:val="-1"/>
          <w:sz w:val="24"/>
        </w:rPr>
        <w:t> </w:t>
      </w:r>
      <w:r>
        <w:rPr>
          <w:sz w:val="24"/>
        </w:rPr>
        <w:t>fiscal</w:t>
      </w:r>
      <w:r>
        <w:rPr>
          <w:spacing w:val="-3"/>
          <w:sz w:val="24"/>
        </w:rPr>
        <w:t> </w:t>
      </w:r>
      <w:r>
        <w:rPr>
          <w:sz w:val="24"/>
        </w:rPr>
        <w:t>years</w:t>
      </w:r>
      <w:r>
        <w:rPr>
          <w:spacing w:val="-2"/>
          <w:sz w:val="24"/>
        </w:rPr>
        <w:t> </w:t>
      </w: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all</w:t>
      </w:r>
      <w:r>
        <w:rPr>
          <w:spacing w:val="-2"/>
          <w:sz w:val="24"/>
        </w:rPr>
        <w:t> </w:t>
      </w:r>
      <w:r>
        <w:rPr>
          <w:sz w:val="24"/>
        </w:rPr>
        <w:t>non-appropriation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funds.</w:t>
      </w:r>
    </w:p>
    <w:p>
      <w:pPr>
        <w:pStyle w:val="ListParagraph"/>
        <w:numPr>
          <w:ilvl w:val="0"/>
          <w:numId w:val="2"/>
        </w:numPr>
        <w:tabs>
          <w:tab w:pos="150" w:val="left" w:leader="none"/>
        </w:tabs>
        <w:spacing w:line="240" w:lineRule="auto" w:before="276" w:after="0"/>
        <w:ind w:left="0" w:right="651" w:firstLine="0"/>
        <w:jc w:val="left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> </w:t>
      </w:r>
      <w:r>
        <w:rPr>
          <w:sz w:val="24"/>
        </w:rPr>
        <w:t>appropriation</w:t>
      </w:r>
      <w:r>
        <w:rPr>
          <w:spacing w:val="-1"/>
          <w:sz w:val="24"/>
        </w:rPr>
        <w:t> </w:t>
      </w:r>
      <w:r>
        <w:rPr>
          <w:sz w:val="24"/>
        </w:rPr>
        <w:t>funds</w:t>
      </w:r>
      <w:r>
        <w:rPr>
          <w:spacing w:val="-2"/>
          <w:sz w:val="24"/>
        </w:rPr>
        <w:t> </w:t>
      </w:r>
      <w:r>
        <w:rPr>
          <w:sz w:val="24"/>
        </w:rPr>
        <w:t>101,</w:t>
      </w:r>
      <w:r>
        <w:rPr>
          <w:spacing w:val="-4"/>
          <w:sz w:val="24"/>
        </w:rPr>
        <w:t> </w:t>
      </w:r>
      <w:r>
        <w:rPr>
          <w:sz w:val="24"/>
        </w:rPr>
        <w:t>102,</w:t>
      </w:r>
      <w:r>
        <w:rPr>
          <w:spacing w:val="-1"/>
          <w:sz w:val="24"/>
        </w:rPr>
        <w:t> </w:t>
      </w:r>
      <w:r>
        <w:rPr>
          <w:sz w:val="24"/>
        </w:rPr>
        <w:t>103,</w:t>
      </w:r>
      <w:r>
        <w:rPr>
          <w:spacing w:val="-4"/>
          <w:sz w:val="24"/>
        </w:rPr>
        <w:t> </w:t>
      </w:r>
      <w:r>
        <w:rPr>
          <w:sz w:val="24"/>
        </w:rPr>
        <w:t>106,</w:t>
      </w:r>
      <w:r>
        <w:rPr>
          <w:spacing w:val="-4"/>
          <w:sz w:val="24"/>
        </w:rPr>
        <w:t> </w:t>
      </w:r>
      <w:r>
        <w:rPr>
          <w:sz w:val="24"/>
        </w:rPr>
        <w:t>107,</w:t>
      </w:r>
      <w:r>
        <w:rPr>
          <w:spacing w:val="-4"/>
          <w:sz w:val="24"/>
        </w:rPr>
        <w:t> </w:t>
      </w:r>
      <w:r>
        <w:rPr>
          <w:sz w:val="24"/>
        </w:rPr>
        <w:t>108,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109</w:t>
      </w:r>
      <w:r>
        <w:rPr>
          <w:spacing w:val="-1"/>
          <w:sz w:val="24"/>
        </w:rPr>
        <w:t> </w:t>
      </w:r>
      <w:r>
        <w:rPr>
          <w:sz w:val="24"/>
        </w:rPr>
        <w:t>retros</w:t>
      </w:r>
      <w:r>
        <w:rPr>
          <w:spacing w:val="-2"/>
          <w:sz w:val="24"/>
        </w:rPr>
        <w:t> </w:t>
      </w:r>
      <w:r>
        <w:rPr>
          <w:sz w:val="24"/>
        </w:rPr>
        <w:t>are</w:t>
      </w:r>
      <w:r>
        <w:rPr>
          <w:spacing w:val="-3"/>
          <w:sz w:val="24"/>
        </w:rPr>
        <w:t> </w:t>
      </w:r>
      <w:r>
        <w:rPr>
          <w:sz w:val="24"/>
        </w:rPr>
        <w:t>allowed</w:t>
      </w:r>
      <w:r>
        <w:rPr>
          <w:spacing w:val="-3"/>
          <w:sz w:val="24"/>
        </w:rPr>
        <w:t> </w:t>
      </w:r>
      <w:r>
        <w:rPr>
          <w:sz w:val="24"/>
        </w:rPr>
        <w:t>under certain circumstances: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0" w:after="0"/>
        <w:ind w:left="720" w:right="319" w:hanging="360"/>
        <w:jc w:val="left"/>
        <w:rPr>
          <w:sz w:val="24"/>
        </w:rPr>
      </w:pPr>
      <w:r>
        <w:rPr>
          <w:sz w:val="24"/>
        </w:rPr>
        <w:t>State</w:t>
      </w:r>
      <w:r>
        <w:rPr>
          <w:spacing w:val="-4"/>
          <w:sz w:val="24"/>
        </w:rPr>
        <w:t> </w:t>
      </w:r>
      <w:r>
        <w:rPr>
          <w:sz w:val="24"/>
        </w:rPr>
        <w:t>appropriated</w:t>
      </w:r>
      <w:r>
        <w:rPr>
          <w:spacing w:val="-4"/>
          <w:sz w:val="24"/>
        </w:rPr>
        <w:t> </w:t>
      </w:r>
      <w:r>
        <w:rPr>
          <w:sz w:val="24"/>
        </w:rPr>
        <w:t>funds</w:t>
      </w:r>
      <w:r>
        <w:rPr>
          <w:spacing w:val="-3"/>
          <w:sz w:val="24"/>
        </w:rPr>
        <w:t> </w:t>
      </w:r>
      <w:r>
        <w:rPr>
          <w:sz w:val="24"/>
        </w:rPr>
        <w:t>were</w:t>
      </w:r>
      <w:r>
        <w:rPr>
          <w:spacing w:val="-2"/>
          <w:sz w:val="24"/>
        </w:rPr>
        <w:t> </w:t>
      </w:r>
      <w:r>
        <w:rPr>
          <w:sz w:val="24"/>
        </w:rPr>
        <w:t>charged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4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prior</w:t>
      </w:r>
      <w:r>
        <w:rPr>
          <w:spacing w:val="-4"/>
          <w:sz w:val="24"/>
        </w:rPr>
        <w:t> </w:t>
      </w:r>
      <w:r>
        <w:rPr>
          <w:sz w:val="24"/>
        </w:rPr>
        <w:t>fiscal</w:t>
      </w:r>
      <w:r>
        <w:rPr>
          <w:spacing w:val="-3"/>
          <w:sz w:val="24"/>
        </w:rPr>
        <w:t> </w:t>
      </w:r>
      <w:r>
        <w:rPr>
          <w:sz w:val="24"/>
        </w:rPr>
        <w:t>year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z w:val="24"/>
        </w:rPr>
        <w:t>expenses</w:t>
      </w:r>
      <w:r>
        <w:rPr>
          <w:spacing w:val="-3"/>
          <w:sz w:val="24"/>
        </w:rPr>
        <w:t> </w:t>
      </w:r>
      <w:r>
        <w:rPr>
          <w:sz w:val="24"/>
        </w:rPr>
        <w:t>should have been charged to a grant.</w:t>
      </w:r>
    </w:p>
    <w:p>
      <w:pPr>
        <w:pStyle w:val="ListParagraph"/>
        <w:numPr>
          <w:ilvl w:val="1"/>
          <w:numId w:val="2"/>
        </w:numPr>
        <w:tabs>
          <w:tab w:pos="720" w:val="left" w:leader="none"/>
        </w:tabs>
        <w:spacing w:line="240" w:lineRule="auto" w:before="0" w:after="0"/>
        <w:ind w:left="720" w:right="321" w:hanging="360"/>
        <w:jc w:val="left"/>
        <w:rPr>
          <w:sz w:val="24"/>
        </w:rPr>
      </w:pP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grant</w:t>
      </w:r>
      <w:r>
        <w:rPr>
          <w:spacing w:val="-1"/>
          <w:sz w:val="24"/>
        </w:rPr>
        <w:t> </w:t>
      </w:r>
      <w:r>
        <w:rPr>
          <w:sz w:val="24"/>
        </w:rPr>
        <w:t>was</w:t>
      </w:r>
      <w:r>
        <w:rPr>
          <w:spacing w:val="-2"/>
          <w:sz w:val="24"/>
        </w:rPr>
        <w:t> </w:t>
      </w:r>
      <w:r>
        <w:rPr>
          <w:sz w:val="24"/>
        </w:rPr>
        <w:t>charged</w:t>
      </w:r>
      <w:r>
        <w:rPr>
          <w:spacing w:val="-1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prior</w:t>
      </w:r>
      <w:r>
        <w:rPr>
          <w:spacing w:val="-3"/>
          <w:sz w:val="24"/>
        </w:rPr>
        <w:t> </w:t>
      </w:r>
      <w:r>
        <w:rPr>
          <w:sz w:val="24"/>
        </w:rPr>
        <w:t>fiscal</w:t>
      </w:r>
      <w:r>
        <w:rPr>
          <w:spacing w:val="-2"/>
          <w:sz w:val="24"/>
        </w:rPr>
        <w:t> </w:t>
      </w:r>
      <w:r>
        <w:rPr>
          <w:sz w:val="24"/>
        </w:rPr>
        <w:t>year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expense</w:t>
      </w:r>
      <w:r>
        <w:rPr>
          <w:spacing w:val="-3"/>
          <w:sz w:val="24"/>
        </w:rPr>
        <w:t> </w:t>
      </w:r>
      <w:r>
        <w:rPr>
          <w:sz w:val="24"/>
        </w:rPr>
        <w:t>needs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3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moved</w:t>
      </w:r>
      <w:r>
        <w:rPr>
          <w:spacing w:val="-1"/>
          <w:sz w:val="24"/>
        </w:rPr>
        <w:t> </w:t>
      </w:r>
      <w:r>
        <w:rPr>
          <w:sz w:val="24"/>
        </w:rPr>
        <w:t>off</w:t>
      </w:r>
      <w:r>
        <w:rPr>
          <w:spacing w:val="-1"/>
          <w:sz w:val="24"/>
        </w:rPr>
        <w:t> </w:t>
      </w:r>
      <w:r>
        <w:rPr>
          <w:sz w:val="24"/>
        </w:rPr>
        <w:t>the grant to state funds.</w:t>
      </w:r>
    </w:p>
    <w:p>
      <w:pPr>
        <w:pStyle w:val="ListParagraph"/>
        <w:numPr>
          <w:ilvl w:val="0"/>
          <w:numId w:val="2"/>
        </w:numPr>
        <w:tabs>
          <w:tab w:pos="150" w:val="left" w:leader="none"/>
        </w:tabs>
        <w:spacing w:line="240" w:lineRule="auto" w:before="273" w:after="0"/>
        <w:ind w:left="0" w:right="636" w:firstLine="0"/>
        <w:jc w:val="left"/>
        <w:rPr>
          <w:sz w:val="24"/>
        </w:rPr>
      </w:pPr>
      <w:r>
        <w:rPr>
          <w:sz w:val="24"/>
        </w:rPr>
        <w:t>Note</w:t>
      </w:r>
      <w:r>
        <w:rPr>
          <w:spacing w:val="-1"/>
          <w:sz w:val="24"/>
        </w:rPr>
        <w:t> </w:t>
      </w:r>
      <w:r>
        <w:rPr>
          <w:sz w:val="24"/>
        </w:rPr>
        <w:t>that</w:t>
      </w:r>
      <w:r>
        <w:rPr>
          <w:spacing w:val="-4"/>
          <w:sz w:val="24"/>
        </w:rPr>
        <w:t> </w:t>
      </w:r>
      <w:r>
        <w:rPr>
          <w:sz w:val="24"/>
        </w:rPr>
        <w:t>such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retro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2"/>
          <w:sz w:val="24"/>
        </w:rPr>
        <w:t> </w:t>
      </w:r>
      <w:r>
        <w:rPr>
          <w:sz w:val="24"/>
        </w:rPr>
        <w:t>going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affect</w:t>
      </w:r>
      <w:r>
        <w:rPr>
          <w:spacing w:val="-4"/>
          <w:sz w:val="24"/>
        </w:rPr>
        <w:t> </w:t>
      </w:r>
      <w:r>
        <w:rPr>
          <w:sz w:val="24"/>
        </w:rPr>
        <w:t>current</w:t>
      </w:r>
      <w:r>
        <w:rPr>
          <w:spacing w:val="-1"/>
          <w:sz w:val="24"/>
        </w:rPr>
        <w:t> </w:t>
      </w:r>
      <w:r>
        <w:rPr>
          <w:sz w:val="24"/>
        </w:rPr>
        <w:t>state</w:t>
      </w:r>
      <w:r>
        <w:rPr>
          <w:spacing w:val="-3"/>
          <w:sz w:val="24"/>
        </w:rPr>
        <w:t> </w:t>
      </w:r>
      <w:r>
        <w:rPr>
          <w:sz w:val="24"/>
        </w:rPr>
        <w:t>funds</w:t>
      </w:r>
      <w:r>
        <w:rPr>
          <w:spacing w:val="-4"/>
          <w:sz w:val="24"/>
        </w:rPr>
        <w:t> </w:t>
      </w:r>
      <w:r>
        <w:rPr>
          <w:sz w:val="24"/>
        </w:rPr>
        <w:t>and</w:t>
      </w:r>
      <w:r>
        <w:rPr>
          <w:spacing w:val="-3"/>
          <w:sz w:val="24"/>
        </w:rPr>
        <w:t> </w:t>
      </w:r>
      <w:r>
        <w:rPr>
          <w:sz w:val="24"/>
        </w:rPr>
        <w:t>not</w:t>
      </w:r>
      <w:r>
        <w:rPr>
          <w:spacing w:val="-4"/>
          <w:sz w:val="24"/>
        </w:rPr>
        <w:t> </w:t>
      </w:r>
      <w:r>
        <w:rPr>
          <w:sz w:val="24"/>
        </w:rPr>
        <w:t>the</w:t>
      </w:r>
      <w:r>
        <w:rPr>
          <w:spacing w:val="-3"/>
          <w:sz w:val="24"/>
        </w:rPr>
        <w:t> </w:t>
      </w:r>
      <w:r>
        <w:rPr>
          <w:sz w:val="24"/>
        </w:rPr>
        <w:t>prior</w:t>
      </w:r>
      <w:r>
        <w:rPr>
          <w:spacing w:val="-3"/>
          <w:sz w:val="24"/>
        </w:rPr>
        <w:t> </w:t>
      </w:r>
      <w:r>
        <w:rPr>
          <w:sz w:val="24"/>
        </w:rPr>
        <w:t>year’s</w:t>
      </w:r>
      <w:r>
        <w:rPr>
          <w:spacing w:val="-2"/>
          <w:sz w:val="24"/>
        </w:rPr>
        <w:t> </w:t>
      </w:r>
      <w:r>
        <w:rPr>
          <w:sz w:val="24"/>
        </w:rPr>
        <w:t>state funds and thus will cause prior year data/budget/report discrepancies.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50" w:val="left" w:leader="none"/>
        </w:tabs>
        <w:spacing w:line="240" w:lineRule="auto" w:before="0" w:after="0"/>
        <w:ind w:left="0" w:right="401" w:firstLine="0"/>
        <w:jc w:val="left"/>
        <w:rPr>
          <w:sz w:val="24"/>
        </w:rPr>
      </w:pPr>
      <w:r>
        <w:rPr>
          <w:sz w:val="24"/>
        </w:rPr>
        <w:t>If</w:t>
      </w:r>
      <w:r>
        <w:rPr>
          <w:spacing w:val="-2"/>
          <w:sz w:val="24"/>
        </w:rPr>
        <w:t> </w:t>
      </w:r>
      <w:r>
        <w:rPr>
          <w:sz w:val="24"/>
        </w:rPr>
        <w:t>there</w:t>
      </w:r>
      <w:r>
        <w:rPr>
          <w:spacing w:val="-2"/>
          <w:sz w:val="24"/>
        </w:rPr>
        <w:t> </w:t>
      </w:r>
      <w:r>
        <w:rPr>
          <w:sz w:val="24"/>
        </w:rPr>
        <w:t>are</w:t>
      </w:r>
      <w:r>
        <w:rPr>
          <w:spacing w:val="-2"/>
          <w:sz w:val="24"/>
        </w:rPr>
        <w:t> </w:t>
      </w:r>
      <w:r>
        <w:rPr>
          <w:sz w:val="24"/>
        </w:rPr>
        <w:t>carryforward</w:t>
      </w:r>
      <w:r>
        <w:rPr>
          <w:spacing w:val="-2"/>
          <w:sz w:val="24"/>
        </w:rPr>
        <w:t> </w:t>
      </w:r>
      <w:r>
        <w:rPr>
          <w:sz w:val="24"/>
        </w:rPr>
        <w:t>state</w:t>
      </w:r>
      <w:r>
        <w:rPr>
          <w:spacing w:val="-2"/>
          <w:sz w:val="24"/>
        </w:rPr>
        <w:t> </w:t>
      </w:r>
      <w:r>
        <w:rPr>
          <w:sz w:val="24"/>
        </w:rPr>
        <w:t>appropriated</w:t>
      </w:r>
      <w:r>
        <w:rPr>
          <w:spacing w:val="-4"/>
          <w:sz w:val="24"/>
        </w:rPr>
        <w:t> </w:t>
      </w:r>
      <w:r>
        <w:rPr>
          <w:sz w:val="24"/>
        </w:rPr>
        <w:t>funds</w:t>
      </w:r>
      <w:r>
        <w:rPr>
          <w:spacing w:val="-5"/>
          <w:sz w:val="24"/>
        </w:rPr>
        <w:t> </w:t>
      </w:r>
      <w:r>
        <w:rPr>
          <w:sz w:val="24"/>
        </w:rPr>
        <w:t>available,</w:t>
      </w:r>
      <w:r>
        <w:rPr>
          <w:spacing w:val="-2"/>
          <w:sz w:val="24"/>
        </w:rPr>
        <w:t> </w:t>
      </w:r>
      <w:r>
        <w:rPr>
          <w:sz w:val="24"/>
        </w:rPr>
        <w:t>then</w:t>
      </w:r>
      <w:r>
        <w:rPr>
          <w:spacing w:val="-2"/>
          <w:sz w:val="24"/>
        </w:rPr>
        <w:t> </w:t>
      </w:r>
      <w:r>
        <w:rPr>
          <w:sz w:val="24"/>
        </w:rPr>
        <w:t>it</w:t>
      </w:r>
      <w:r>
        <w:rPr>
          <w:spacing w:val="-5"/>
          <w:sz w:val="24"/>
        </w:rPr>
        <w:t> </w:t>
      </w:r>
      <w:r>
        <w:rPr>
          <w:sz w:val="24"/>
        </w:rPr>
        <w:t>would</w:t>
      </w:r>
      <w:r>
        <w:rPr>
          <w:spacing w:val="-2"/>
          <w:sz w:val="24"/>
        </w:rPr>
        <w:t> </w:t>
      </w:r>
      <w:r>
        <w:rPr>
          <w:sz w:val="24"/>
        </w:rPr>
        <w:t>be</w:t>
      </w:r>
      <w:r>
        <w:rPr>
          <w:spacing w:val="-2"/>
          <w:sz w:val="24"/>
        </w:rPr>
        <w:t> </w:t>
      </w:r>
      <w:r>
        <w:rPr>
          <w:sz w:val="24"/>
        </w:rPr>
        <w:t>better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4"/>
          <w:sz w:val="24"/>
        </w:rPr>
        <w:t> </w:t>
      </w:r>
      <w:r>
        <w:rPr>
          <w:sz w:val="24"/>
        </w:rPr>
        <w:t>a journal correction and use carry forward funds to make the correction versus processing a retro on the prior fiscal year.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50" w:val="left" w:leader="none"/>
        </w:tabs>
        <w:spacing w:line="240" w:lineRule="auto" w:before="0" w:after="0"/>
        <w:ind w:left="150" w:right="0" w:hanging="150"/>
        <w:jc w:val="left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> </w:t>
      </w:r>
      <w:hyperlink r:id="rId7">
        <w:r>
          <w:rPr>
            <w:color w:val="0000FF"/>
            <w:sz w:val="24"/>
            <w:u w:val="single" w:color="0000FF"/>
          </w:rPr>
          <w:t>Payroll</w:t>
        </w:r>
        <w:r>
          <w:rPr>
            <w:color w:val="0000FF"/>
            <w:spacing w:val="-2"/>
            <w:sz w:val="24"/>
            <w:u w:val="single" w:color="0000FF"/>
          </w:rPr>
          <w:t> </w:t>
        </w:r>
        <w:r>
          <w:rPr>
            <w:color w:val="0000FF"/>
            <w:sz w:val="24"/>
            <w:u w:val="single" w:color="0000FF"/>
          </w:rPr>
          <w:t>Distribution/Retro</w:t>
        </w:r>
        <w:r>
          <w:rPr>
            <w:color w:val="0000FF"/>
            <w:spacing w:val="-2"/>
            <w:sz w:val="24"/>
            <w:u w:val="single" w:color="0000FF"/>
          </w:rPr>
          <w:t> </w:t>
        </w:r>
        <w:r>
          <w:rPr>
            <w:color w:val="0000FF"/>
            <w:sz w:val="24"/>
            <w:u w:val="single" w:color="0000FF"/>
          </w:rPr>
          <w:t>Request</w:t>
        </w:r>
      </w:hyperlink>
      <w:r>
        <w:rPr>
          <w:color w:val="0000FF"/>
          <w:spacing w:val="-4"/>
          <w:sz w:val="24"/>
          <w:u w:val="none"/>
        </w:rPr>
        <w:t> </w:t>
      </w:r>
      <w:r>
        <w:rPr>
          <w:sz w:val="24"/>
          <w:u w:val="none"/>
        </w:rPr>
        <w:t>form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must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be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completed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for</w:t>
      </w:r>
      <w:r>
        <w:rPr>
          <w:spacing w:val="-5"/>
          <w:sz w:val="24"/>
          <w:u w:val="none"/>
        </w:rPr>
        <w:t> </w:t>
      </w:r>
      <w:r>
        <w:rPr>
          <w:sz w:val="24"/>
          <w:u w:val="none"/>
        </w:rPr>
        <w:t>all</w:t>
      </w:r>
      <w:r>
        <w:rPr>
          <w:spacing w:val="-1"/>
          <w:sz w:val="24"/>
          <w:u w:val="none"/>
        </w:rPr>
        <w:t> </w:t>
      </w:r>
      <w:r>
        <w:rPr>
          <w:sz w:val="24"/>
          <w:u w:val="none"/>
        </w:rPr>
        <w:t>prior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year</w:t>
      </w:r>
      <w:r>
        <w:rPr>
          <w:spacing w:val="-2"/>
          <w:sz w:val="24"/>
          <w:u w:val="none"/>
        </w:rPr>
        <w:t> retros.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150" w:val="left" w:leader="none"/>
        </w:tabs>
        <w:spacing w:line="240" w:lineRule="auto" w:before="0" w:after="0"/>
        <w:ind w:left="0" w:right="26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> </w:t>
      </w:r>
      <w:hyperlink r:id="rId8">
        <w:r>
          <w:rPr>
            <w:color w:val="0000FF"/>
            <w:sz w:val="24"/>
            <w:u w:val="single" w:color="0000FF"/>
          </w:rPr>
          <w:t>Cost</w:t>
        </w:r>
        <w:r>
          <w:rPr>
            <w:color w:val="0000FF"/>
            <w:spacing w:val="-5"/>
            <w:sz w:val="24"/>
            <w:u w:val="single" w:color="0000FF"/>
          </w:rPr>
          <w:t> </w:t>
        </w:r>
        <w:r>
          <w:rPr>
            <w:color w:val="0000FF"/>
            <w:sz w:val="24"/>
            <w:u w:val="single" w:color="0000FF"/>
          </w:rPr>
          <w:t>Transfer</w:t>
        </w:r>
        <w:r>
          <w:rPr>
            <w:color w:val="0000FF"/>
            <w:spacing w:val="-4"/>
            <w:sz w:val="24"/>
            <w:u w:val="single" w:color="0000FF"/>
          </w:rPr>
          <w:t> </w:t>
        </w:r>
        <w:r>
          <w:rPr>
            <w:color w:val="0000FF"/>
            <w:sz w:val="24"/>
            <w:u w:val="single" w:color="0000FF"/>
          </w:rPr>
          <w:t>Request</w:t>
        </w:r>
      </w:hyperlink>
      <w:r>
        <w:rPr>
          <w:sz w:val="24"/>
          <w:u w:val="none"/>
        </w:rPr>
        <w:t>: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Payroll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Form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in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myUFL</w:t>
      </w:r>
      <w:r>
        <w:rPr>
          <w:spacing w:val="-4"/>
          <w:sz w:val="24"/>
          <w:u w:val="none"/>
        </w:rPr>
        <w:t> </w:t>
      </w:r>
      <w:r>
        <w:rPr>
          <w:sz w:val="24"/>
          <w:u w:val="none"/>
        </w:rPr>
        <w:t>must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be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completed</w:t>
      </w:r>
      <w:r>
        <w:rPr>
          <w:spacing w:val="-2"/>
          <w:sz w:val="24"/>
          <w:u w:val="none"/>
        </w:rPr>
        <w:t> </w:t>
      </w:r>
      <w:r>
        <w:rPr>
          <w:sz w:val="24"/>
          <w:u w:val="none"/>
        </w:rPr>
        <w:t>for</w:t>
      </w:r>
      <w:r>
        <w:rPr>
          <w:spacing w:val="-6"/>
          <w:sz w:val="24"/>
          <w:u w:val="none"/>
        </w:rPr>
        <w:t> </w:t>
      </w:r>
      <w:r>
        <w:rPr>
          <w:sz w:val="24"/>
          <w:u w:val="none"/>
        </w:rPr>
        <w:t>all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retros</w:t>
      </w:r>
      <w:r>
        <w:rPr>
          <w:spacing w:val="-3"/>
          <w:sz w:val="24"/>
          <w:u w:val="none"/>
        </w:rPr>
        <w:t> </w:t>
      </w:r>
      <w:r>
        <w:rPr>
          <w:sz w:val="24"/>
          <w:u w:val="none"/>
        </w:rPr>
        <w:t>charging funds 201 and 209.</w:t>
      </w:r>
    </w:p>
    <w:p>
      <w:pPr>
        <w:pStyle w:val="BodyText"/>
        <w:spacing w:before="46"/>
      </w:pPr>
    </w:p>
    <w:p>
      <w:pPr>
        <w:pStyle w:val="BodyText"/>
      </w:pPr>
      <w:r>
        <w:rPr/>
        <w:t>If</w:t>
      </w:r>
      <w:r>
        <w:rPr>
          <w:spacing w:val="-2"/>
        </w:rPr>
        <w:t> </w:t>
      </w:r>
      <w:r>
        <w:rPr/>
        <w:t>you</w:t>
      </w:r>
      <w:r>
        <w:rPr>
          <w:spacing w:val="-4"/>
        </w:rPr>
        <w:t> </w:t>
      </w:r>
      <w:r>
        <w:rPr/>
        <w:t>have</w:t>
      </w:r>
      <w:r>
        <w:rPr>
          <w:spacing w:val="-2"/>
        </w:rPr>
        <w:t> </w:t>
      </w:r>
      <w:r>
        <w:rPr/>
        <w:t>any</w:t>
      </w:r>
      <w:r>
        <w:rPr>
          <w:spacing w:val="-3"/>
        </w:rPr>
        <w:t> </w:t>
      </w:r>
      <w:r>
        <w:rPr/>
        <w:t>questions,</w:t>
      </w:r>
      <w:r>
        <w:rPr>
          <w:spacing w:val="-5"/>
        </w:rPr>
        <w:t> </w:t>
      </w:r>
      <w:r>
        <w:rPr/>
        <w:t>please</w:t>
      </w:r>
      <w:r>
        <w:rPr>
          <w:spacing w:val="-4"/>
        </w:rPr>
        <w:t> </w:t>
      </w:r>
      <w:r>
        <w:rPr/>
        <w:t>contact</w:t>
      </w:r>
      <w:r>
        <w:rPr>
          <w:spacing w:val="-5"/>
        </w:rPr>
        <w:t> </w:t>
      </w:r>
      <w:hyperlink r:id="rId9">
        <w:r>
          <w:rPr>
            <w:color w:val="0000FF"/>
            <w:u w:val="single" w:color="0000FF"/>
          </w:rPr>
          <w:t>Kimberley</w:t>
        </w:r>
        <w:r>
          <w:rPr>
            <w:color w:val="0000FF"/>
            <w:spacing w:val="-5"/>
            <w:u w:val="single" w:color="0000FF"/>
          </w:rPr>
          <w:t> </w:t>
        </w:r>
        <w:r>
          <w:rPr>
            <w:color w:val="0000FF"/>
            <w:u w:val="single" w:color="0000FF"/>
          </w:rPr>
          <w:t>Alderson</w:t>
        </w:r>
      </w:hyperlink>
      <w:r>
        <w:rPr>
          <w:color w:val="0000FF"/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4"/>
          <w:u w:val="none"/>
        </w:rPr>
        <w:t> </w:t>
      </w:r>
      <w:r>
        <w:rPr>
          <w:u w:val="none"/>
        </w:rPr>
        <w:t>payroll</w:t>
      </w:r>
      <w:r>
        <w:rPr>
          <w:spacing w:val="-3"/>
          <w:u w:val="none"/>
        </w:rPr>
        <w:t> </w:t>
      </w:r>
      <w:r>
        <w:rPr>
          <w:u w:val="none"/>
        </w:rPr>
        <w:t>related</w:t>
      </w:r>
      <w:r>
        <w:rPr>
          <w:spacing w:val="-4"/>
          <w:u w:val="none"/>
        </w:rPr>
        <w:t> </w:t>
      </w:r>
      <w:r>
        <w:rPr>
          <w:u w:val="none"/>
        </w:rPr>
        <w:t>issues</w:t>
      </w:r>
      <w:r>
        <w:rPr>
          <w:spacing w:val="-5"/>
          <w:u w:val="none"/>
        </w:rPr>
        <w:t> </w:t>
      </w:r>
      <w:r>
        <w:rPr>
          <w:u w:val="none"/>
        </w:rPr>
        <w:t>and </w:t>
      </w:r>
      <w:hyperlink r:id="rId6">
        <w:r>
          <w:rPr>
            <w:color w:val="0000FF"/>
            <w:u w:val="single" w:color="0000FF"/>
          </w:rPr>
          <w:t>General Accounting</w:t>
        </w:r>
      </w:hyperlink>
      <w:r>
        <w:rPr>
          <w:color w:val="0000FF"/>
          <w:u w:val="none"/>
        </w:rPr>
        <w:t> </w:t>
      </w:r>
      <w:r>
        <w:rPr>
          <w:u w:val="none"/>
        </w:rPr>
        <w:t>for all non-payroll related issues.</w:t>
      </w:r>
    </w:p>
    <w:sectPr>
      <w:footerReference w:type="default" r:id="rId5"/>
      <w:type w:val="continuous"/>
      <w:pgSz w:w="12240" w:h="15840"/>
      <w:pgMar w:header="0" w:footer="1063" w:top="1380" w:bottom="1260" w:left="1080" w:right="108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5072">
              <wp:simplePos x="0" y="0"/>
              <wp:positionH relativeFrom="page">
                <wp:posOffset>2985007</wp:posOffset>
              </wp:positionH>
              <wp:positionV relativeFrom="page">
                <wp:posOffset>9243906</wp:posOffset>
              </wp:positionV>
              <wp:extent cx="1345565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455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Last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> </w:t>
                          </w:r>
                          <w:r>
                            <w:rPr>
                              <w:rFonts w:ascii="Times New Roman"/>
                            </w:rPr>
                            <w:t>updated</w:t>
                          </w:r>
                          <w:r>
                            <w:rPr>
                              <w:rFonts w:ascii="Times New Roman"/>
                              <w:spacing w:val="-2"/>
                            </w:rPr>
                            <w:t> 05/2024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35.039993pt;margin-top:727.866638pt;width:105.95pt;height:15.3pt;mso-position-horizontal-relative:page;mso-position-vertical-relative:page;z-index:-15761408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Last</w:t>
                    </w:r>
                    <w:r>
                      <w:rPr>
                        <w:rFonts w:ascii="Times New Roman"/>
                        <w:spacing w:val="-2"/>
                      </w:rPr>
                      <w:t> </w:t>
                    </w:r>
                    <w:r>
                      <w:rPr>
                        <w:rFonts w:ascii="Times New Roman"/>
                      </w:rPr>
                      <w:t>updated</w:t>
                    </w:r>
                    <w:r>
                      <w:rPr>
                        <w:rFonts w:ascii="Times New Roman"/>
                        <w:spacing w:val="-2"/>
                      </w:rPr>
                      <w:t> 05/2024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0" w:hanging="1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720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6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3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676"/>
      <w:outlineLvl w:val="1"/>
    </w:pPr>
    <w:rPr>
      <w:rFonts w:ascii="Arial" w:hAnsi="Arial" w:eastAsia="Arial" w:cs="Arial"/>
      <w:b/>
      <w:bCs/>
      <w:sz w:val="48"/>
      <w:szCs w:val="4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67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20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uf.tfaforms.net/f/Finance-Hub?tfa_2233=tfa_2577" TargetMode="External"/><Relationship Id="rId7" Type="http://schemas.openxmlformats.org/officeDocument/2006/relationships/hyperlink" Target="http://www.fa.ufl.edu/wp-content/uploads/2019/04/Payroll-Distribution-Retro-Request.xlsx" TargetMode="External"/><Relationship Id="rId8" Type="http://schemas.openxmlformats.org/officeDocument/2006/relationships/hyperlink" Target="https://research.ufl.edu/cg/fa-cg-ctrpr.pdf" TargetMode="External"/><Relationship Id="rId9" Type="http://schemas.openxmlformats.org/officeDocument/2006/relationships/hyperlink" Target="mailto:kalderson@ufl.edu" TargetMode="Externa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Operations Analysis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Hoffman,Kyle</dc:creator>
  <dcterms:created xsi:type="dcterms:W3CDTF">2026-03-31T17:05:32Z</dcterms:created>
  <dcterms:modified xsi:type="dcterms:W3CDTF">2026-03-31T17:05:32Z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2024-05-11T00:00:00Z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2026-03-31T00:00:00Z</vt:filetime>
  </property>
  <property fmtid="{D5CDD505-2E9C-101B-9397-08002B2CF9AE}" pid="5" name="Producer">
    <vt:lpwstr>Adobe PDF Library 24.2.207</vt:lpwstr>
  </property>
  <property fmtid="{D5CDD505-2E9C-101B-9397-08002B2CF9AE}" pid="6" name="SourceModified">
    <vt:lpwstr>D:20240511133729</vt:lpwstr>
  </property>
</Properties>
</file>