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871727</wp:posOffset>
                </wp:positionH>
                <wp:positionV relativeFrom="page">
                  <wp:posOffset>7440155</wp:posOffset>
                </wp:positionV>
                <wp:extent cx="6532245" cy="148018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32245" cy="1480185"/>
                          <a:chExt cx="6532245" cy="148018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1479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152133"/>
                            <a:ext cx="5943599" cy="935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585.838989pt;width:514.35pt;height:116.55pt;mso-position-horizontal-relative:page;mso-position-vertical-relative:page;z-index:15728640" id="docshapegroup4" coordorigin="1373,11717" coordsize="10287,2331">
                <v:shape style="position:absolute;left:1372;top:11716;width:10287;height:2331" type="#_x0000_t75" id="docshape5" stroked="false">
                  <v:imagedata r:id="rId7" o:title=""/>
                </v:shape>
                <v:shape style="position:absolute;left:1680;top:11956;width:9360;height:1473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Monthly</w:t>
      </w:r>
      <w:r>
        <w:rPr>
          <w:spacing w:val="-6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Reports</w:t>
      </w:r>
      <w:r>
        <w:rPr>
          <w:spacing w:val="-3"/>
        </w:rPr>
        <w:t> </w:t>
      </w:r>
      <w:r>
        <w:rPr/>
        <w:t>(MFR)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Fund</w:t>
      </w:r>
      <w:r>
        <w:rPr>
          <w:spacing w:val="-4"/>
        </w:rPr>
        <w:t> </w:t>
      </w:r>
      <w:r>
        <w:rPr>
          <w:spacing w:val="-5"/>
        </w:rPr>
        <w:t>143</w:t>
      </w:r>
    </w:p>
    <w:p>
      <w:pPr>
        <w:pStyle w:val="BodyText"/>
        <w:spacing w:line="259" w:lineRule="auto" w:before="197"/>
      </w:pPr>
      <w:r>
        <w:rPr/>
        <w:t>The monthly financial reports for fund 143 have changed effective October 2021. This new format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support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numbers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allocate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used from continuing education courses or</w:t>
      </w:r>
      <w:r>
        <w:rPr>
          <w:spacing w:val="-2"/>
        </w:rPr>
        <w:t> </w:t>
      </w:r>
      <w:r>
        <w:rPr/>
        <w:t>programs.</w:t>
      </w:r>
      <w:r>
        <w:rPr>
          <w:spacing w:val="-3"/>
        </w:rPr>
        <w:t> </w:t>
      </w:r>
      <w:r>
        <w:rPr/>
        <w:t>Transitioning is still</w:t>
      </w:r>
      <w:r>
        <w:rPr>
          <w:spacing w:val="-2"/>
        </w:rPr>
        <w:t> </w:t>
      </w:r>
      <w:r>
        <w:rPr/>
        <w:t>underway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MFR reports will have a mix of reporting with and without the project number.</w:t>
      </w:r>
    </w:p>
    <w:p>
      <w:pPr>
        <w:pStyle w:val="Heading4"/>
      </w:pPr>
      <w:r>
        <w:rPr>
          <w:spacing w:val="-2"/>
        </w:rPr>
        <w:t>Notes: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184" w:after="0"/>
        <w:ind w:left="1440" w:right="6" w:hanging="360"/>
        <w:jc w:val="left"/>
        <w:rPr>
          <w:sz w:val="24"/>
        </w:rPr>
      </w:pPr>
      <w:r>
        <w:rPr>
          <w:sz w:val="24"/>
        </w:rPr>
        <w:t>Fund</w:t>
      </w:r>
      <w:r>
        <w:rPr>
          <w:spacing w:val="-4"/>
          <w:sz w:val="24"/>
        </w:rPr>
        <w:t> </w:t>
      </w:r>
      <w:r>
        <w:rPr>
          <w:sz w:val="24"/>
        </w:rPr>
        <w:t>143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numbers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additional</w:t>
      </w:r>
      <w:r>
        <w:rPr>
          <w:spacing w:val="-5"/>
          <w:sz w:val="24"/>
        </w:rPr>
        <w:t> </w:t>
      </w:r>
      <w:r>
        <w:rPr>
          <w:sz w:val="24"/>
        </w:rPr>
        <w:t>field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ChartField string to track revenues and expenses within the 143 FLEX account but the Commitment Control (KK) configuration remains the same at the Flex level; budgetary controls are still aggregated at the Fund, Flex, Dept.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159" w:after="0"/>
        <w:ind w:left="1440" w:right="310" w:hanging="360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balance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controlled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4"/>
          <w:sz w:val="24"/>
        </w:rPr>
        <w:t> </w:t>
      </w:r>
      <w:r>
        <w:rPr>
          <w:sz w:val="24"/>
        </w:rPr>
        <w:t>several projects running negative balances. The 143 MFR reports will show you the available</w:t>
      </w:r>
      <w:r>
        <w:rPr>
          <w:spacing w:val="-1"/>
          <w:sz w:val="24"/>
        </w:rPr>
        <w:t> </w:t>
      </w:r>
      <w:r>
        <w:rPr>
          <w:sz w:val="24"/>
        </w:rPr>
        <w:t>balance for each Project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the available balance</w:t>
      </w:r>
      <w:r>
        <w:rPr>
          <w:spacing w:val="-1"/>
          <w:sz w:val="24"/>
        </w:rPr>
        <w:t> </w:t>
      </w:r>
      <w:r>
        <w:rPr>
          <w:sz w:val="24"/>
        </w:rPr>
        <w:t>in myUFL will be the cumulative of projects of each flex.</w:t>
      </w:r>
    </w:p>
    <w:p>
      <w:pPr>
        <w:pStyle w:val="Heading2"/>
        <w:spacing w:before="159"/>
        <w:rPr>
          <w:u w:val="none"/>
        </w:rPr>
      </w:pPr>
      <w:r>
        <w:rPr>
          <w:u w:val="single"/>
        </w:rPr>
        <w:t>Changes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MFR</w:t>
      </w:r>
      <w:r>
        <w:rPr>
          <w:spacing w:val="-1"/>
          <w:u w:val="single"/>
        </w:rPr>
        <w:t> </w:t>
      </w:r>
      <w:r>
        <w:rPr>
          <w:u w:val="single"/>
        </w:rPr>
        <w:t>Fund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Reports</w:t>
      </w:r>
    </w:p>
    <w:p>
      <w:pPr>
        <w:pStyle w:val="BodyText"/>
        <w:spacing w:line="259" w:lineRule="auto" w:before="159"/>
      </w:pPr>
      <w:r>
        <w:rPr/>
        <w:t>Flexes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shared by</w:t>
      </w:r>
      <w:r>
        <w:rPr>
          <w:spacing w:val="-7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departments,</w:t>
      </w:r>
      <w:r>
        <w:rPr>
          <w:spacing w:val="-4"/>
        </w:rPr>
        <w:t> </w:t>
      </w:r>
      <w:r>
        <w:rPr/>
        <w:t>so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143</w:t>
      </w:r>
      <w:r>
        <w:rPr>
          <w:spacing w:val="-3"/>
        </w:rPr>
        <w:t> </w:t>
      </w:r>
      <w:r>
        <w:rPr/>
        <w:t>Fund Reports</w:t>
      </w:r>
      <w:r>
        <w:rPr>
          <w:spacing w:val="-4"/>
        </w:rPr>
        <w:t> </w:t>
      </w:r>
      <w:r>
        <w:rPr/>
        <w:t>excludes</w:t>
      </w:r>
      <w:r>
        <w:rPr>
          <w:spacing w:val="-4"/>
        </w:rPr>
        <w:t> </w:t>
      </w:r>
      <w:r>
        <w:rPr/>
        <w:t>the Department ID so you can look at a dept flex in totality across department IDs.</w:t>
      </w:r>
    </w:p>
    <w:p>
      <w:pPr>
        <w:spacing w:line="259" w:lineRule="auto" w:before="159"/>
        <w:ind w:left="0" w:right="264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Fund Reports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accessed</w:t>
      </w:r>
      <w:r>
        <w:rPr>
          <w:spacing w:val="-3"/>
          <w:sz w:val="24"/>
        </w:rPr>
        <w:t> </w:t>
      </w:r>
      <w:r>
        <w:rPr>
          <w:sz w:val="24"/>
        </w:rPr>
        <w:t>through:</w:t>
      </w:r>
      <w:r>
        <w:rPr>
          <w:spacing w:val="-3"/>
          <w:sz w:val="24"/>
        </w:rPr>
        <w:t> </w:t>
      </w:r>
      <w:r>
        <w:rPr>
          <w:b/>
          <w:sz w:val="24"/>
        </w:rPr>
        <w:t>Enterprise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Analytics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&gt;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Reports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&gt;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143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DOCE FUND &gt; FLEX</w:t>
      </w:r>
      <w:r>
        <w:rPr>
          <w:sz w:val="24"/>
        </w:rPr>
        <w:t>.</w:t>
      </w:r>
    </w:p>
    <w:p>
      <w:pPr>
        <w:pStyle w:val="Heading3"/>
        <w:spacing w:before="162"/>
        <w:rPr>
          <w:b w:val="0"/>
        </w:rPr>
      </w:pPr>
      <w:bookmarkStart w:name="Cash Summary" w:id="1"/>
      <w:bookmarkEnd w:id="1"/>
      <w:r>
        <w:rPr/>
      </w:r>
      <w:r>
        <w:rPr>
          <w:b w:val="0"/>
          <w:color w:val="2E5395"/>
        </w:rPr>
        <w:t>Cash</w:t>
      </w:r>
      <w:r>
        <w:rPr>
          <w:b w:val="0"/>
          <w:color w:val="2E5395"/>
          <w:spacing w:val="-5"/>
        </w:rPr>
        <w:t> </w:t>
      </w:r>
      <w:r>
        <w:rPr>
          <w:b w:val="0"/>
          <w:color w:val="2E5395"/>
          <w:spacing w:val="-2"/>
        </w:rPr>
        <w:t>Summary</w:t>
      </w:r>
    </w:p>
    <w:p>
      <w:pPr>
        <w:pStyle w:val="BodyText"/>
        <w:spacing w:line="259" w:lineRule="auto" w:before="145"/>
      </w:pPr>
      <w:r>
        <w:rPr/>
        <w:t>The</w:t>
      </w:r>
      <w:r>
        <w:rPr>
          <w:spacing w:val="-1"/>
        </w:rPr>
        <w:t> </w:t>
      </w:r>
      <w:r>
        <w:rPr/>
        <w:t>Cash</w:t>
      </w:r>
      <w:r>
        <w:rPr>
          <w:spacing w:val="-3"/>
        </w:rPr>
        <w:t> </w:t>
      </w:r>
      <w:r>
        <w:rPr/>
        <w:t>Summary</w:t>
      </w:r>
      <w:r>
        <w:rPr>
          <w:spacing w:val="-2"/>
        </w:rPr>
        <w:t> </w:t>
      </w:r>
      <w:r>
        <w:rPr/>
        <w:t>report now</w:t>
      </w:r>
      <w:r>
        <w:rPr>
          <w:spacing w:val="-3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number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Cost Center.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 will give you the running balance of transactions posted to the fund-dept flex-project. The beginning balance for the available balance is life to date for the project. This is a cumulative report that can help you budget and plan out the project’s expenses.</w:t>
      </w:r>
    </w:p>
    <w:p>
      <w:pPr>
        <w:pStyle w:val="BodyText"/>
        <w:spacing w:before="158"/>
      </w:pPr>
      <w:r>
        <w:rPr/>
        <w:t>Example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below:</w:t>
      </w:r>
      <w:r>
        <w:rPr>
          <w:spacing w:val="-3"/>
        </w:rPr>
        <w:t> </w:t>
      </w:r>
      <w:r>
        <w:rPr/>
        <w:t>143</w:t>
      </w:r>
      <w:r>
        <w:rPr>
          <w:spacing w:val="-1"/>
        </w:rPr>
        <w:t> </w:t>
      </w:r>
      <w:r>
        <w:rPr/>
        <w:t>(Fund)</w:t>
      </w:r>
      <w:r>
        <w:rPr>
          <w:spacing w:val="-2"/>
        </w:rPr>
        <w:t> </w:t>
      </w:r>
      <w:r>
        <w:rPr/>
        <w:t>~</w:t>
      </w:r>
      <w:r>
        <w:rPr>
          <w:spacing w:val="-3"/>
        </w:rPr>
        <w:t> </w:t>
      </w:r>
      <w:r>
        <w:rPr/>
        <w:t>52S4214</w:t>
      </w:r>
      <w:r>
        <w:rPr>
          <w:spacing w:val="-1"/>
        </w:rPr>
        <w:t> </w:t>
      </w:r>
      <w:r>
        <w:rPr/>
        <w:t>(Department</w:t>
      </w:r>
      <w:r>
        <w:rPr>
          <w:spacing w:val="-3"/>
        </w:rPr>
        <w:t> </w:t>
      </w:r>
      <w:r>
        <w:rPr/>
        <w:t>Flex)</w:t>
      </w:r>
      <w:r>
        <w:rPr>
          <w:spacing w:val="-2"/>
        </w:rPr>
        <w:t> </w:t>
      </w:r>
      <w:r>
        <w:rPr/>
        <w:t>~</w:t>
      </w:r>
      <w:r>
        <w:rPr>
          <w:spacing w:val="-4"/>
        </w:rPr>
        <w:t> </w:t>
      </w:r>
      <w:r>
        <w:rPr/>
        <w:t>52S4214A </w:t>
      </w:r>
      <w:r>
        <w:rPr>
          <w:spacing w:val="-2"/>
        </w:rPr>
        <w:t>(Project).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10" w:footer="746" w:top="1660" w:bottom="940" w:left="1440" w:right="1440"/>
          <w:pgNumType w:start="1"/>
        </w:sectPr>
      </w:pPr>
    </w:p>
    <w:p>
      <w:pPr>
        <w:spacing w:line="259" w:lineRule="auto" w:before="19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871727</wp:posOffset>
                </wp:positionH>
                <wp:positionV relativeFrom="page">
                  <wp:posOffset>2087892</wp:posOffset>
                </wp:positionV>
                <wp:extent cx="6532245" cy="19558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32245" cy="1955800"/>
                          <a:chExt cx="6532245" cy="19558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1955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52463"/>
                            <a:ext cx="5943599" cy="1410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164.401001pt;width:514.35pt;height:154pt;mso-position-horizontal-relative:page;mso-position-vertical-relative:page;z-index:15729152" id="docshapegroup7" coordorigin="1373,3288" coordsize="10287,3080">
                <v:shape style="position:absolute;left:1372;top:3288;width:10287;height:3080" type="#_x0000_t75" id="docshape8" stroked="false">
                  <v:imagedata r:id="rId9" o:title=""/>
                </v:shape>
                <v:shape style="position:absolute;left:1680;top:3528;width:9360;height:2221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871727</wp:posOffset>
                </wp:positionH>
                <wp:positionV relativeFrom="page">
                  <wp:posOffset>5433047</wp:posOffset>
                </wp:positionV>
                <wp:extent cx="6532245" cy="30346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32245" cy="3034665"/>
                          <a:chExt cx="6532245" cy="303466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3034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52633"/>
                            <a:ext cx="5943599" cy="2488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427.799011pt;width:514.35pt;height:238.95pt;mso-position-horizontal-relative:page;mso-position-vertical-relative:page;z-index:15729664" id="docshapegroup10" coordorigin="1373,8556" coordsize="10287,4779">
                <v:shape style="position:absolute;left:1372;top:8555;width:10287;height:4779" type="#_x0000_t75" id="docshape11" stroked="false">
                  <v:imagedata r:id="rId11" o:title=""/>
                </v:shape>
                <v:shape style="position:absolute;left:1680;top:8796;width:9360;height:3919" type="#_x0000_t75" id="docshape12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show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blank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(see</w:t>
      </w:r>
      <w:r>
        <w:rPr>
          <w:spacing w:val="-1"/>
          <w:sz w:val="24"/>
        </w:rPr>
        <w:t> </w:t>
      </w:r>
      <w:r>
        <w:rPr>
          <w:sz w:val="24"/>
        </w:rPr>
        <w:t>screen</w:t>
      </w:r>
      <w:r>
        <w:rPr>
          <w:spacing w:val="-3"/>
          <w:sz w:val="24"/>
        </w:rPr>
        <w:t> </w:t>
      </w:r>
      <w:r>
        <w:rPr>
          <w:sz w:val="24"/>
        </w:rPr>
        <w:t>shot</w:t>
      </w:r>
      <w:r>
        <w:rPr>
          <w:spacing w:val="-3"/>
          <w:sz w:val="24"/>
        </w:rPr>
        <w:t> </w:t>
      </w:r>
      <w:r>
        <w:rPr>
          <w:sz w:val="24"/>
        </w:rPr>
        <w:t>below).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cash summary for the Fund-Flex without project numbers assigned. You will see a balance with no Project</w:t>
      </w:r>
      <w:r>
        <w:rPr>
          <w:spacing w:val="-1"/>
          <w:sz w:val="24"/>
        </w:rPr>
        <w:t> </w:t>
      </w:r>
      <w:r>
        <w:rPr>
          <w:sz w:val="24"/>
        </w:rPr>
        <w:t>number until</w:t>
      </w:r>
      <w:r>
        <w:rPr>
          <w:spacing w:val="-2"/>
          <w:sz w:val="24"/>
        </w:rPr>
        <w:t> </w:t>
      </w:r>
      <w:r>
        <w:rPr>
          <w:sz w:val="24"/>
        </w:rPr>
        <w:t>your flex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transitioned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project field.</w:t>
      </w:r>
      <w:r>
        <w:rPr>
          <w:spacing w:val="-3"/>
          <w:sz w:val="24"/>
        </w:rPr>
        <w:t> </w:t>
      </w:r>
      <w:r>
        <w:rPr>
          <w:b/>
          <w:sz w:val="24"/>
        </w:rPr>
        <w:t>The goal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 have all flexes using a project number by the end of the fiscal year 2022.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8"/>
        <w:rPr>
          <w:b/>
        </w:rPr>
      </w:pPr>
    </w:p>
    <w:p>
      <w:pPr>
        <w:spacing w:line="259" w:lineRule="auto" w:before="0"/>
        <w:ind w:left="-1" w:right="20" w:firstLine="0"/>
        <w:jc w:val="left"/>
        <w:rPr>
          <w:b/>
          <w:sz w:val="24"/>
        </w:rPr>
      </w:pPr>
      <w:r>
        <w:rPr>
          <w:sz w:val="24"/>
        </w:rPr>
        <w:t>You may note many of these projects have a negative balance. Since the project is not a KK ChartField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fund,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 keep</w:t>
      </w:r>
      <w:r>
        <w:rPr>
          <w:spacing w:val="-3"/>
          <w:sz w:val="24"/>
        </w:rPr>
        <w:t> </w:t>
      </w:r>
      <w:r>
        <w:rPr>
          <w:sz w:val="24"/>
        </w:rPr>
        <w:t>you from</w:t>
      </w:r>
      <w:r>
        <w:rPr>
          <w:spacing w:val="-1"/>
          <w:sz w:val="24"/>
        </w:rPr>
        <w:t> </w:t>
      </w:r>
      <w:r>
        <w:rPr>
          <w:sz w:val="24"/>
        </w:rPr>
        <w:t>running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negative.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long as the flex overall is positive you will pass budget checking. </w:t>
      </w:r>
      <w:r>
        <w:rPr>
          <w:b/>
          <w:sz w:val="24"/>
        </w:rPr>
        <w:t>The new MFR reports now include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Total at the end of the Cash Summary report for each Flex Code </w:t>
      </w:r>
      <w:r>
        <w:rPr>
          <w:sz w:val="24"/>
        </w:rPr>
        <w:t>so you can still review the entire flex balance. </w:t>
      </w:r>
      <w:r>
        <w:rPr>
          <w:b/>
          <w:sz w:val="24"/>
        </w:rPr>
        <w:t>This is the available balance that should match the myUFL KK balance for the Flex’s total.</w:t>
      </w:r>
    </w:p>
    <w:p>
      <w:pPr>
        <w:spacing w:after="0" w:line="259" w:lineRule="auto"/>
        <w:jc w:val="left"/>
        <w:rPr>
          <w:b/>
          <w:sz w:val="24"/>
        </w:rPr>
        <w:sectPr>
          <w:pgSz w:w="12240" w:h="15840"/>
          <w:pgMar w:header="510" w:footer="746" w:top="1660" w:bottom="940" w:left="1440" w:right="1440"/>
        </w:sectPr>
      </w:pPr>
    </w:p>
    <w:p>
      <w:pPr>
        <w:pStyle w:val="Heading3"/>
        <w:spacing w:before="19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871727</wp:posOffset>
                </wp:positionH>
                <wp:positionV relativeFrom="page">
                  <wp:posOffset>5957328</wp:posOffset>
                </wp:positionV>
                <wp:extent cx="6532245" cy="207772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32245" cy="2077720"/>
                          <a:chExt cx="6532245" cy="207772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2077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152717"/>
                            <a:ext cx="5943599" cy="1531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469.080994pt;width:514.35pt;height:163.6pt;mso-position-horizontal-relative:page;mso-position-vertical-relative:page;z-index:15730688" id="docshapegroup13" coordorigin="1373,9382" coordsize="10287,3272">
                <v:shape style="position:absolute;left:1372;top:9381;width:10287;height:3272" type="#_x0000_t75" id="docshape14" stroked="false">
                  <v:imagedata r:id="rId13" o:title=""/>
                </v:shape>
                <v:shape style="position:absolute;left:1680;top:9622;width:9360;height:2412" type="#_x0000_t75" id="docshape1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b w:val="0"/>
          <w:color w:val="2E5395"/>
        </w:rPr>
        <w:t>GL/KK</w:t>
      </w:r>
      <w:r>
        <w:rPr>
          <w:b w:val="0"/>
          <w:color w:val="2E5395"/>
          <w:spacing w:val="-4"/>
        </w:rPr>
        <w:t> </w:t>
      </w:r>
      <w:r>
        <w:rPr>
          <w:b w:val="0"/>
          <w:color w:val="2E5395"/>
        </w:rPr>
        <w:t>Summary</w:t>
      </w:r>
      <w:r>
        <w:rPr>
          <w:b w:val="0"/>
          <w:color w:val="2E5395"/>
          <w:spacing w:val="-2"/>
        </w:rPr>
        <w:t> Comparison</w:t>
      </w:r>
    </w:p>
    <w:p>
      <w:pPr>
        <w:pStyle w:val="BodyText"/>
        <w:spacing w:line="259" w:lineRule="auto" w:before="188"/>
        <w:ind w:right="4"/>
      </w:pPr>
      <w:r>
        <w:rPr/>
        <w:t>The</w:t>
      </w:r>
      <w:r>
        <w:rPr>
          <w:spacing w:val="-2"/>
        </w:rPr>
        <w:t> </w:t>
      </w:r>
      <w:r>
        <w:rPr/>
        <w:t>GL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KK</w:t>
      </w:r>
      <w:r>
        <w:rPr>
          <w:spacing w:val="-2"/>
        </w:rPr>
        <w:t> </w:t>
      </w:r>
      <w:r>
        <w:rPr/>
        <w:t>Summary</w:t>
      </w:r>
      <w:r>
        <w:rPr>
          <w:spacing w:val="-3"/>
        </w:rPr>
        <w:t> </w:t>
      </w:r>
      <w:r>
        <w:rPr/>
        <w:t>Comparison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>
          <w:b/>
        </w:rPr>
        <w:t>not</w:t>
      </w:r>
      <w:r>
        <w:rPr>
          <w:b/>
          <w:spacing w:val="-2"/>
        </w:rPr>
        <w:t> </w:t>
      </w:r>
      <w:r>
        <w:rPr/>
        <w:t>changed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configuration.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 a controlling ChartField for this fund, so it will not be a factor when considering GL to KK </w:t>
      </w:r>
      <w:r>
        <w:rPr>
          <w:spacing w:val="-2"/>
        </w:rPr>
        <w:t>variances.</w:t>
      </w:r>
    </w:p>
    <w:p>
      <w:pPr>
        <w:pStyle w:val="BodyText"/>
        <w:spacing w:before="1" w:after="1"/>
        <w:rPr>
          <w:sz w:val="13"/>
        </w:rPr>
      </w:pPr>
    </w:p>
    <w:p>
      <w:pPr>
        <w:spacing w:line="240" w:lineRule="auto"/>
        <w:ind w:left="-6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03345" cy="2604770"/>
                <wp:effectExtent l="0" t="0" r="0" b="508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903345" cy="2604770"/>
                          <a:chExt cx="3903345" cy="260477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951" cy="26045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59" y="151917"/>
                            <a:ext cx="3314699" cy="2059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07.350pt;height:205.1pt;mso-position-horizontal-relative:char;mso-position-vertical-relative:line" id="docshapegroup16" coordorigin="0,0" coordsize="6147,4102">
                <v:shape style="position:absolute;left:0;top:0;width:6147;height:4102" type="#_x0000_t75" id="docshape17" stroked="false">
                  <v:imagedata r:id="rId15" o:title=""/>
                </v:shape>
                <v:shape style="position:absolute;left:307;top:239;width:5220;height:3244" type="#_x0000_t75" id="docshape18" stroked="false">
                  <v:imagedata r:id="rId1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line="256" w:lineRule="auto" w:before="121"/>
        <w:rPr>
          <w:b w:val="0"/>
        </w:rPr>
      </w:pPr>
      <w:bookmarkStart w:name="Open Encumbrance/Payroll Reconciliation " w:id="2"/>
      <w:bookmarkEnd w:id="2"/>
      <w:r>
        <w:rPr/>
      </w:r>
      <w:r>
        <w:rPr>
          <w:b w:val="0"/>
          <w:color w:val="2E5395"/>
        </w:rPr>
        <w:t>Open</w:t>
      </w:r>
      <w:r>
        <w:rPr>
          <w:b w:val="0"/>
          <w:color w:val="2E5395"/>
          <w:spacing w:val="-7"/>
        </w:rPr>
        <w:t> </w:t>
      </w:r>
      <w:r>
        <w:rPr>
          <w:b w:val="0"/>
          <w:color w:val="2E5395"/>
        </w:rPr>
        <w:t>Encumbrance/Payroll</w:t>
      </w:r>
      <w:r>
        <w:rPr>
          <w:b w:val="0"/>
          <w:color w:val="2E5395"/>
          <w:spacing w:val="-7"/>
        </w:rPr>
        <w:t> </w:t>
      </w:r>
      <w:r>
        <w:rPr>
          <w:b w:val="0"/>
          <w:color w:val="2E5395"/>
        </w:rPr>
        <w:t>Reconciliation</w:t>
      </w:r>
      <w:r>
        <w:rPr>
          <w:b w:val="0"/>
          <w:color w:val="2E5395"/>
          <w:spacing w:val="-9"/>
        </w:rPr>
        <w:t> </w:t>
      </w:r>
      <w:r>
        <w:rPr>
          <w:b w:val="0"/>
          <w:color w:val="2E5395"/>
        </w:rPr>
        <w:t>Detail/Projected</w:t>
      </w:r>
      <w:r>
        <w:rPr>
          <w:b w:val="0"/>
          <w:color w:val="2E5395"/>
          <w:spacing w:val="-7"/>
        </w:rPr>
        <w:t> </w:t>
      </w:r>
      <w:r>
        <w:rPr>
          <w:b w:val="0"/>
          <w:color w:val="2E5395"/>
        </w:rPr>
        <w:t>Payroll Detail/Transaction Detail</w:t>
      </w:r>
    </w:p>
    <w:p>
      <w:pPr>
        <w:pStyle w:val="BodyText"/>
        <w:spacing w:line="259" w:lineRule="auto" w:before="123"/>
      </w:pPr>
      <w:r>
        <w:rPr/>
        <w:t>All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reports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similar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/>
        <w:t>format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distinguishing</w:t>
      </w:r>
      <w:r>
        <w:rPr>
          <w:spacing w:val="-2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by Project number. This will help you review, report, and plan out the project’s expenses.</w:t>
      </w:r>
    </w:p>
    <w:p>
      <w:pPr>
        <w:pStyle w:val="BodyText"/>
        <w:spacing w:after="0" w:line="259" w:lineRule="auto"/>
        <w:sectPr>
          <w:pgSz w:w="12240" w:h="15840"/>
          <w:pgMar w:header="510" w:footer="746" w:top="1660" w:bottom="940" w:left="1440" w:right="1440"/>
        </w:sectPr>
      </w:pPr>
    </w:p>
    <w:p>
      <w:pPr>
        <w:pStyle w:val="BodyTex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871727</wp:posOffset>
                </wp:positionH>
                <wp:positionV relativeFrom="page">
                  <wp:posOffset>1182636</wp:posOffset>
                </wp:positionV>
                <wp:extent cx="6532245" cy="44704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532245" cy="4470400"/>
                          <a:chExt cx="6532245" cy="44704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2974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53063"/>
                            <a:ext cx="5943599" cy="24295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4543"/>
                            <a:ext cx="6531863" cy="15453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3119323"/>
                            <a:ext cx="5943599" cy="956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93.121002pt;width:514.35pt;height:352pt;mso-position-horizontal-relative:page;mso-position-vertical-relative:page;z-index:15731200" id="docshapegroup19" coordorigin="1373,1862" coordsize="10287,7040">
                <v:shape style="position:absolute;left:1372;top:1862;width:10287;height:4685" type="#_x0000_t75" id="docshape20" stroked="false">
                  <v:imagedata r:id="rId17" o:title=""/>
                </v:shape>
                <v:shape style="position:absolute;left:1680;top:2103;width:9360;height:3826" type="#_x0000_t75" id="docshape21" stroked="false">
                  <v:imagedata r:id="rId18" o:title=""/>
                </v:shape>
                <v:shape style="position:absolute;left:1372;top:6468;width:10287;height:2434" type="#_x0000_t75" id="docshape22" stroked="false">
                  <v:imagedata r:id="rId19" o:title=""/>
                </v:shape>
                <v:shape style="position:absolute;left:1680;top:6774;width:9360;height:1507" type="#_x0000_t75" id="docshape23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871727</wp:posOffset>
                </wp:positionH>
                <wp:positionV relativeFrom="page">
                  <wp:posOffset>5731764</wp:posOffset>
                </wp:positionV>
                <wp:extent cx="6532245" cy="136588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32245" cy="1365885"/>
                          <a:chExt cx="6532245" cy="136588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863" cy="13654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152136"/>
                            <a:ext cx="5943599" cy="820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451.320007pt;width:514.35pt;height:107.55pt;mso-position-horizontal-relative:page;mso-position-vertical-relative:page;z-index:15731712" id="docshapegroup24" coordorigin="1373,9026" coordsize="10287,2151">
                <v:shape style="position:absolute;left:1372;top:9026;width:10287;height:2151" type="#_x0000_t75" id="docshape25" stroked="false">
                  <v:imagedata r:id="rId21" o:title=""/>
                </v:shape>
                <v:shape style="position:absolute;left:1680;top:9265;width:9360;height:1292" type="#_x0000_t75" id="docshape26" stroked="false">
                  <v:imagedata r:id="rId2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07"/>
        <w:rPr>
          <w:sz w:val="36"/>
        </w:rPr>
      </w:pPr>
    </w:p>
    <w:p>
      <w:pPr>
        <w:pStyle w:val="Heading2"/>
        <w:rPr>
          <w:u w:val="none"/>
        </w:rPr>
      </w:pPr>
      <w:r>
        <w:rPr>
          <w:u w:val="single"/>
        </w:rPr>
        <w:t>Changes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MFR</w:t>
      </w:r>
      <w:r>
        <w:rPr>
          <w:spacing w:val="-2"/>
          <w:u w:val="single"/>
        </w:rPr>
        <w:t> </w:t>
      </w:r>
      <w:r>
        <w:rPr>
          <w:u w:val="single"/>
        </w:rPr>
        <w:t>Department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Reports</w:t>
      </w:r>
    </w:p>
    <w:p>
      <w:pPr>
        <w:pStyle w:val="BodyText"/>
        <w:spacing w:line="259" w:lineRule="auto" w:before="160"/>
        <w:ind w:right="83"/>
      </w:pPr>
      <w:r>
        <w:rPr/>
        <w:t>The</w:t>
      </w:r>
      <w:r>
        <w:rPr>
          <w:spacing w:val="-1"/>
        </w:rPr>
        <w:t> </w:t>
      </w:r>
      <w:r>
        <w:rPr/>
        <w:t>changes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fund</w:t>
      </w:r>
      <w:r>
        <w:rPr>
          <w:spacing w:val="-3"/>
        </w:rPr>
        <w:t> </w:t>
      </w:r>
      <w:r>
        <w:rPr/>
        <w:t>reports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except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total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Flex.</w:t>
      </w:r>
      <w:r>
        <w:rPr>
          <w:spacing w:val="-2"/>
        </w:rPr>
        <w:t> </w:t>
      </w:r>
      <w:r>
        <w:rPr/>
        <w:t>To review the total for a flex, you must use the fund report.</w:t>
      </w:r>
    </w:p>
    <w:sectPr>
      <w:pgSz w:w="12240" w:h="15840"/>
      <w:pgMar w:header="510" w:footer="746" w:top="1660" w:bottom="9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930655</wp:posOffset>
              </wp:positionH>
              <wp:positionV relativeFrom="page">
                <wp:posOffset>9445243</wp:posOffset>
              </wp:positionV>
              <wp:extent cx="70167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01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11/04/2021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.279999pt;margin-top:743.719971pt;width:55.25pt;height:13.05pt;mso-position-horizontal-relative:page;mso-position-vertical-relative:page;z-index:-1580544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11/04/2021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6218881</wp:posOffset>
              </wp:positionH>
              <wp:positionV relativeFrom="page">
                <wp:posOffset>9445243</wp:posOffset>
              </wp:positionV>
              <wp:extent cx="65278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67569pt;margin-top:743.719971pt;width:51.4pt;height:13.05pt;mso-position-horizontal-relative:page;mso-position-vertical-relative:page;z-index:-15804928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4305300</wp:posOffset>
          </wp:positionH>
          <wp:positionV relativeFrom="page">
            <wp:posOffset>323850</wp:posOffset>
          </wp:positionV>
          <wp:extent cx="2552699" cy="2381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69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906140</wp:posOffset>
          </wp:positionH>
          <wp:positionV relativeFrom="page">
            <wp:posOffset>411414</wp:posOffset>
          </wp:positionV>
          <wp:extent cx="2105668" cy="33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5668" cy="33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857250</wp:posOffset>
              </wp:positionH>
              <wp:positionV relativeFrom="page">
                <wp:posOffset>874393</wp:posOffset>
              </wp:positionV>
              <wp:extent cx="600075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000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0750" h="0">
                            <a:moveTo>
                              <a:pt x="0" y="0"/>
                            </a:moveTo>
                            <a:lnTo>
                              <a:pt x="600075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6464" from="67.5pt,68.849899pt" to="540pt,68.849899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5703823</wp:posOffset>
              </wp:positionH>
              <wp:positionV relativeFrom="page">
                <wp:posOffset>561673</wp:posOffset>
              </wp:positionV>
              <wp:extent cx="1110615" cy="23685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106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Agency FB"/>
                              <w:color w:val="005495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8"/>
                            </w:rPr>
                            <w:t>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9.119995pt;margin-top:44.226231pt;width:87.45pt;height:18.650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495"/>
                        <w:sz w:val="28"/>
                      </w:rPr>
                      <w:t>General</w:t>
                    </w:r>
                    <w:r>
                      <w:rPr>
                        <w:rFonts w:ascii="Agency FB"/>
                        <w:color w:val="005495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8"/>
                      </w:rPr>
                      <w:t>Accounting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36"/>
      <w:szCs w:val="36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"/>
      <w:outlineLvl w:val="3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60"/>
      <w:ind w:left="720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440" w:right="6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 General Accounting</dc:creator>
  <dc:description/>
  <dc:title>Fund 143 Monthly Financial Reporting Guide</dc:title>
  <dcterms:created xsi:type="dcterms:W3CDTF">2026-03-26T15:07:34Z</dcterms:created>
  <dcterms:modified xsi:type="dcterms:W3CDTF">2026-03-26T15:07:34Z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D:20211213123256</vt:lpwstr>
  </property>
</Properties>
</file>